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506C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9B2E4D6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1.本选题设计背景、目标及意义</w:t>
            </w:r>
          </w:p>
          <w:p w14:paraId="0108795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一、设计背景与现实问题</w:t>
            </w:r>
          </w:p>
          <w:p w14:paraId="7AFB12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油库是连接上游输油管道与区域终端市场的重要储运节点。广州市黄埔区石化产业和交通物流设施集中，成品油接收、储存、管输外发及公路配送需要在同一库区内连续衔接。本设计场址位于黄埔东路旁，油品种类为92号汽油、95号汽油和0号柴油，三种油品的年周转量分别为28×10⁴ t、15×10⁴ t和24×10⁴ t。现有设计任务需要解决不同牌号油品分质储存与独立输送、管道连续收油与两种出库方式协调、汽油装车油气控制、储罐区消防与事故状态下安全隔离等现实问题。同时，广州地区高温、多雨，库区竖向排水、含油污水收集、设备防腐和防雷防静电措施必须与当地环境条件相适应。</w:t>
            </w:r>
          </w:p>
          <w:p w14:paraId="3619F9D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二、设计目标</w:t>
            </w:r>
          </w:p>
          <w:p w14:paraId="09B8752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本课题以形成一套安全、完整、可校核的成品油库工艺设计方案为目标。依据年周转量和周转系数K＝14进行库容计算，确定储罐计算总容量为30000 m³，油库等级为二级；设置7座5000 m³立式储罐，其中92号汽油内浮顶罐3座、95号汽油内浮顶罐2座、0号柴油固定顶罐2座，油罐内径24 m、高度12 m。三种油品采用独立管线和独立泵组，收油全部采用管道密闭输送，出库采用管输与公路发油相结合的方式。设计将完成总平面分区、储罐及管道计算、泵组选型与校核、收发油和倒罐流程、汽油底部密闭装车及油气回收、消防给水与泡沫灭火、防雷防静电和HSE措施，使各系统在能力匹配、油品质量控制、运行安全和污染防治方面形成闭环。</w:t>
            </w:r>
          </w:p>
          <w:p w14:paraId="2D901585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三、研究意义</w:t>
            </w:r>
          </w:p>
          <w:p w14:paraId="6C18232E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7FB03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C30C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094A6B4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7BB2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2B433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142FD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after="120"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[11,14]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[5,14]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[9]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[6-7]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[10]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[1,13]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[2]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[12,14]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在清罐原油处理方面，王文涛等（2024）开展了高含铁清罐原油脱铁净化技术的工业实践，为清罐原油资源化处理提供了工程参考。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[8]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spacing w:after="120" w:afterLines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afterLines="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[15-17]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国内外研究评价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高温、多雨的环境条件，统筹管道密闭收油、底部密闭发油、罐区沉降补偿、常温储存输送、油气回收和自动控制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3.本选题设计方案、技术路线及写作提纲</w:t>
            </w:r>
          </w:p>
          <w:p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一、设计方案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设计采用“管道密闭收油—分质分罐储存—管输与公路联合发油”的总体方案。储油区、装卸区、辅助生产区和行政管理区按生产流程及火灾危险性分区布置；92号、95号汽油采用内浮顶罐，0号柴油采用固定顶罐。汽油公路发油采用底部密闭装车，装车油气集中送入处理能力为120 m³/h的油气回收装置。主输油泵按三种油品分别设置，每组2台、1用1备，额定流量60 m³/h、扬程40 m。消防系统按最大单罐火灾工况计算，配置消防水池、消防泵组、泡沫灭火系统及罐壁冷却设施，并设置防火堤、事故污水收集、防雷防静电、可燃气体检测和紧急切断联锁。</w:t>
            </w:r>
          </w:p>
          <w:p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二、技术路线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技术路线按照“设计资料整理—库容与油库等级确定—总平面分区与竖向布置—储罐结构及附件选型—输油管径、壁厚和水力计算—泵组性能及汽蚀校核—收油、储存、发油、倒罐和油气回收流程设计—消防与HSE设计—图纸绘制与成果复核”的顺序实施。计算部分采用物料平衡、连续性方程、达西公式和设备性能校核方法，计算表格使用电子表格软件复核；总平面布置图、工艺流程图及主要管道布置图采用AutoCAD绘制；说明书使用Microsoft Word编排。各阶段计算结果相互校核，储罐有效容量、管道输送能力、泵组工作点、装车能力和消防保障能力均与设计任务数据对应。</w:t>
            </w:r>
          </w:p>
          <w:p w14:paraId="6BF973B6"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三、主要设计内容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本课题以广州市黄埔区黄埔东路旁拟建成品油库为设计对象，依据《石油库设计规范》GB 50074—2014、《立式圆筒形钢制焊接油罐设计规范》GB 50341—2014、《输油管道工程设计规范》GB 50253—2014、《储油库大气污染物排放标准》GB 20950—2020等现行标准，结合设计任务给出的油品年周转量、收发油比例及当地气候条件，完成92号汽油、95号汽油和0号柴油的接收、储存与分发系统设计。三种油品均采用管道进库；出库按既定比例采用管输和公路运输，各油品储罐、输油管线及泵组独立设置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本课题主要设计内容如下：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381CCAEB">
            <w:pPr>
              <w:numPr>
                <w:ilvl w:val="0"/>
                <w:numId w:val="0"/>
              </w:num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7ABCC3D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2F4A3357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选题背景及研究意义</w:t>
            </w:r>
          </w:p>
          <w:p w14:paraId="3AD79A8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选题背景</w:t>
            </w:r>
          </w:p>
          <w:p w14:paraId="03CDE118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研究意义</w:t>
            </w:r>
          </w:p>
          <w:p w14:paraId="1AE1B1F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69D51E3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国内研究现状</w:t>
            </w:r>
          </w:p>
          <w:p w14:paraId="12474A6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国外研究现状</w:t>
            </w:r>
          </w:p>
          <w:p w14:paraId="545091F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19A1153D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52D0765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9C0A2A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79346473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油品种类及收发油方式</w:t>
            </w:r>
          </w:p>
          <w:p w14:paraId="51327E93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43811B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油库容量和分级</w:t>
            </w:r>
          </w:p>
          <w:p w14:paraId="6D4E55B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油库的分区</w:t>
            </w:r>
          </w:p>
          <w:p w14:paraId="0CC641A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库区道路规划</w:t>
            </w:r>
          </w:p>
          <w:p w14:paraId="641FD864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综合管线布置</w:t>
            </w:r>
          </w:p>
          <w:p w14:paraId="43CDDA6A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3F7976EF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储油罐计算及选型</w:t>
            </w:r>
          </w:p>
          <w:p w14:paraId="41A76C8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设计任务与计算边界</w:t>
            </w:r>
          </w:p>
          <w:p w14:paraId="27BA6323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罐型、容量与几何尺寸</w:t>
            </w:r>
          </w:p>
          <w:p w14:paraId="5FB2B31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材料与厚度附加量</w:t>
            </w:r>
          </w:p>
          <w:p w14:paraId="4516D9B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罐壁厚度计算</w:t>
            </w:r>
          </w:p>
          <w:p w14:paraId="28B6952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固定顶与内浮顶选型</w:t>
            </w:r>
          </w:p>
          <w:p w14:paraId="1EEEF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罐壁抗风稳定及中间抗风圈设计</w:t>
            </w:r>
          </w:p>
          <w:p w14:paraId="2DD002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693FB2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选材与许用应力</w:t>
            </w:r>
          </w:p>
          <w:p w14:paraId="6D0CCEA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31F4C3B5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壁厚计算与强度校核</w:t>
            </w:r>
          </w:p>
          <w:p w14:paraId="37BE08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5A659F3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泵的选型与计算</w:t>
            </w:r>
          </w:p>
          <w:p w14:paraId="47D46AC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7B95F1ED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08803B95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6E259F2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  <w:bookmarkStart w:id="0" w:name="_GoBack"/>
            <w:bookmarkEnd w:id="0"/>
          </w:p>
          <w:p w14:paraId="19BF151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6DBB8B0F">
            <w:pPr>
              <w:pStyle w:val="4"/>
              <w:bidi w:val="0"/>
              <w:ind w:left="1508" w:hanging="708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1A5715DF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214CC10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总体设计</w:t>
            </w:r>
          </w:p>
          <w:p w14:paraId="28577E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设计原则</w:t>
            </w:r>
          </w:p>
          <w:p w14:paraId="35E1A27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131F5BA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585CAAA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45016E4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0967BF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27CF8C8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76AE814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装车发油</w:t>
            </w:r>
          </w:p>
          <w:p w14:paraId="6348A76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倒罐工艺</w:t>
            </w:r>
          </w:p>
          <w:p w14:paraId="53E7438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倒罐工艺流程</w:t>
            </w:r>
          </w:p>
          <w:p w14:paraId="1857344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倒罐工艺运行要求</w:t>
            </w:r>
          </w:p>
          <w:p w14:paraId="10CDC041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4C529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36F720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5D9A9DC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5E93B60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41B866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5114A962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066051F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30F325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436596A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4FFF1B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74B6511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4EED7B9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6A1B766F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6DA3115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2D7802E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3A371E4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63C487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5DF7DE6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2AA31C5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602E9015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</w:t>
            </w:r>
          </w:p>
          <w:p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五、预期成果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预期形成一份完整的《广州黄埔油库工艺设计》毕业设计说明书，内容包括设计依据与参数、库容及分级、总平面布置、储罐计算与选型、输油管道和泵组计算、收发油及倒罐工艺、油气回收、消防安全和HSE管理。说明书中的关键计算均给出公式、数据来源、代入过程和校核结果，并形成储罐、管道、泵组及消防系统主要参数汇总。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图纸成果包括油库总平面布置图、工艺流程图及主要工艺管道布置图，图中明确功能分区、储罐与主要设备、工艺管线、消防设施、道路及安全间距。最终成果应能够完整表达7座5000 m³储罐、三套独立油品输送系统、管道收油与管输/公路发油流程、汽油油气回收和消防安全系统，满足毕业设计评审及后续方案深化需要。</w:t>
            </w:r>
          </w:p>
          <w:p w14:paraId="7BFE5A74">
            <w:p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D8D9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[10]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[11]凌之栋.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[12]张建春,周冠立,宋辉.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[13]孙辉.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[14]张付卿.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[15]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[16]National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[17]International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4DEF5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118184AE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5452C5E2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AE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p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一、完成措施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工作以任务书数据和现行国家标准为依据，先完成基础资料整理及方案边界确认，再分项进行库容、储罐、管道、泵组和消防计算。计算结果采用电子表格复核，设备能力与设计流量逐项对应；图纸与说明书同步校审，重点核对油品分质输送、防火间距、联锁控制、油气回收及事故排水等内容，发现数据或图文不一致时及时修正。</w:t>
            </w:r>
          </w:p>
          <w:p>
            <w:p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二、进度安排</w:t>
            </w:r>
          </w:p>
          <w:p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划分为文献与开题、工艺计算、流程图绘制、辅助工艺计算、总平面图绘制、说明书与图纸完善、中期检查、集中修改和答辩准备九个阶段。各阶段起止时间及工作内容见下表，前一阶段的计算成果作为后一阶段设备选型、流程设计和图纸绘制的输入。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028F4E9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7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0F5DA05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64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5293A4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31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7B915CEC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D70868-6C1E-4547-90D8-741A2AA19A5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8FEB6C8E-24A0-4CA9-8FC9-A484078BEB1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ED8A102D-8C5C-45E0-A9CD-50A8F18E59DD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21E42F5"/>
    <w:rsid w:val="0361265C"/>
    <w:rsid w:val="040C0819"/>
    <w:rsid w:val="0421537A"/>
    <w:rsid w:val="043520A1"/>
    <w:rsid w:val="04B27B12"/>
    <w:rsid w:val="04DD7638"/>
    <w:rsid w:val="05093353"/>
    <w:rsid w:val="0596483F"/>
    <w:rsid w:val="0691317E"/>
    <w:rsid w:val="06DD7C0F"/>
    <w:rsid w:val="07AA637F"/>
    <w:rsid w:val="07B215FB"/>
    <w:rsid w:val="080C24F8"/>
    <w:rsid w:val="0A193C90"/>
    <w:rsid w:val="0A5A676F"/>
    <w:rsid w:val="0CAC2B9A"/>
    <w:rsid w:val="0D985C36"/>
    <w:rsid w:val="0F4731AF"/>
    <w:rsid w:val="103941EB"/>
    <w:rsid w:val="10944070"/>
    <w:rsid w:val="10D543B3"/>
    <w:rsid w:val="11F56363"/>
    <w:rsid w:val="125A71F7"/>
    <w:rsid w:val="128D521B"/>
    <w:rsid w:val="129C214C"/>
    <w:rsid w:val="12E23B09"/>
    <w:rsid w:val="134E6759"/>
    <w:rsid w:val="150177FB"/>
    <w:rsid w:val="15B77F45"/>
    <w:rsid w:val="168801D3"/>
    <w:rsid w:val="170831C7"/>
    <w:rsid w:val="17317A68"/>
    <w:rsid w:val="17BD3EAD"/>
    <w:rsid w:val="183F23B9"/>
    <w:rsid w:val="1843030F"/>
    <w:rsid w:val="1901426D"/>
    <w:rsid w:val="19244CD6"/>
    <w:rsid w:val="197605ED"/>
    <w:rsid w:val="19C0552F"/>
    <w:rsid w:val="1ADA2CED"/>
    <w:rsid w:val="1B193AF0"/>
    <w:rsid w:val="1BB82AAA"/>
    <w:rsid w:val="1BCB48C1"/>
    <w:rsid w:val="1C3D736A"/>
    <w:rsid w:val="1CCD6C60"/>
    <w:rsid w:val="1D052B9C"/>
    <w:rsid w:val="1EBE78FF"/>
    <w:rsid w:val="20580C17"/>
    <w:rsid w:val="20A756FA"/>
    <w:rsid w:val="20E56222"/>
    <w:rsid w:val="21932171"/>
    <w:rsid w:val="224E6204"/>
    <w:rsid w:val="22692ECB"/>
    <w:rsid w:val="23D711EC"/>
    <w:rsid w:val="23FC5FB8"/>
    <w:rsid w:val="25576DC4"/>
    <w:rsid w:val="2798368F"/>
    <w:rsid w:val="27E40FE2"/>
    <w:rsid w:val="27F03E2A"/>
    <w:rsid w:val="290D4568"/>
    <w:rsid w:val="294D3731"/>
    <w:rsid w:val="29780915"/>
    <w:rsid w:val="298231EA"/>
    <w:rsid w:val="2A816FBC"/>
    <w:rsid w:val="2B3A609F"/>
    <w:rsid w:val="2B762899"/>
    <w:rsid w:val="2BEE5BD6"/>
    <w:rsid w:val="2FD8767E"/>
    <w:rsid w:val="31DF7DE0"/>
    <w:rsid w:val="32393E38"/>
    <w:rsid w:val="32871912"/>
    <w:rsid w:val="33CA3782"/>
    <w:rsid w:val="35BA34DA"/>
    <w:rsid w:val="35D72EE3"/>
    <w:rsid w:val="35EF74CF"/>
    <w:rsid w:val="36455341"/>
    <w:rsid w:val="36BA2868"/>
    <w:rsid w:val="36DD1132"/>
    <w:rsid w:val="37AF0235"/>
    <w:rsid w:val="37F8706F"/>
    <w:rsid w:val="383374BF"/>
    <w:rsid w:val="386A72E1"/>
    <w:rsid w:val="39B262AE"/>
    <w:rsid w:val="39E362DD"/>
    <w:rsid w:val="3B0039E9"/>
    <w:rsid w:val="3B0E2C74"/>
    <w:rsid w:val="3C37397E"/>
    <w:rsid w:val="3C5F2E1D"/>
    <w:rsid w:val="3CA20C0F"/>
    <w:rsid w:val="3F3423F7"/>
    <w:rsid w:val="40D43E92"/>
    <w:rsid w:val="414548A4"/>
    <w:rsid w:val="41DC38CA"/>
    <w:rsid w:val="430D6695"/>
    <w:rsid w:val="44AC50DD"/>
    <w:rsid w:val="450A19D1"/>
    <w:rsid w:val="4594234D"/>
    <w:rsid w:val="45DF48DC"/>
    <w:rsid w:val="46AD34A8"/>
    <w:rsid w:val="46C92DA7"/>
    <w:rsid w:val="484F3E57"/>
    <w:rsid w:val="48E704DA"/>
    <w:rsid w:val="49A64783"/>
    <w:rsid w:val="49CF62A7"/>
    <w:rsid w:val="4AC40AD3"/>
    <w:rsid w:val="4BD7025D"/>
    <w:rsid w:val="4C6B33F0"/>
    <w:rsid w:val="4C701556"/>
    <w:rsid w:val="4CD07462"/>
    <w:rsid w:val="4E2D705C"/>
    <w:rsid w:val="4E571C5E"/>
    <w:rsid w:val="4EEF1E97"/>
    <w:rsid w:val="4F6050C6"/>
    <w:rsid w:val="50212524"/>
    <w:rsid w:val="50906EF3"/>
    <w:rsid w:val="510F4A72"/>
    <w:rsid w:val="51AB479B"/>
    <w:rsid w:val="52D528B2"/>
    <w:rsid w:val="542773EF"/>
    <w:rsid w:val="54E63D3C"/>
    <w:rsid w:val="55641BC1"/>
    <w:rsid w:val="5665221F"/>
    <w:rsid w:val="578C7028"/>
    <w:rsid w:val="57B62775"/>
    <w:rsid w:val="587A0EC6"/>
    <w:rsid w:val="58BB0463"/>
    <w:rsid w:val="58DE2BED"/>
    <w:rsid w:val="5A9D7BEB"/>
    <w:rsid w:val="5B5404A1"/>
    <w:rsid w:val="5B772C72"/>
    <w:rsid w:val="5C205D85"/>
    <w:rsid w:val="5C3F1B9C"/>
    <w:rsid w:val="5E341674"/>
    <w:rsid w:val="5E97484A"/>
    <w:rsid w:val="5EA62054"/>
    <w:rsid w:val="5EB629D1"/>
    <w:rsid w:val="5EE94B54"/>
    <w:rsid w:val="5FD17AC2"/>
    <w:rsid w:val="60865933"/>
    <w:rsid w:val="60D23C2B"/>
    <w:rsid w:val="61587D6F"/>
    <w:rsid w:val="61CA737D"/>
    <w:rsid w:val="61CD0651"/>
    <w:rsid w:val="6223212B"/>
    <w:rsid w:val="62344338"/>
    <w:rsid w:val="62D17DD9"/>
    <w:rsid w:val="645110EF"/>
    <w:rsid w:val="648E5C09"/>
    <w:rsid w:val="65411908"/>
    <w:rsid w:val="66F61471"/>
    <w:rsid w:val="672229B1"/>
    <w:rsid w:val="68B473FF"/>
    <w:rsid w:val="68FA5721"/>
    <w:rsid w:val="691E364C"/>
    <w:rsid w:val="6A7E25F5"/>
    <w:rsid w:val="6AE352CC"/>
    <w:rsid w:val="6B6E044D"/>
    <w:rsid w:val="6DD830E8"/>
    <w:rsid w:val="6DE76703"/>
    <w:rsid w:val="6E1F40EF"/>
    <w:rsid w:val="6E2A4841"/>
    <w:rsid w:val="6E433F5B"/>
    <w:rsid w:val="6F0B6421"/>
    <w:rsid w:val="719D3191"/>
    <w:rsid w:val="7254082D"/>
    <w:rsid w:val="72A359D6"/>
    <w:rsid w:val="72F654FA"/>
    <w:rsid w:val="73AF3484"/>
    <w:rsid w:val="7412157E"/>
    <w:rsid w:val="745D6D46"/>
    <w:rsid w:val="754826B7"/>
    <w:rsid w:val="7634762B"/>
    <w:rsid w:val="76911902"/>
    <w:rsid w:val="76E557A9"/>
    <w:rsid w:val="7A4776B9"/>
    <w:rsid w:val="7B4D0E37"/>
    <w:rsid w:val="7BC9569A"/>
    <w:rsid w:val="7C974C60"/>
    <w:rsid w:val="7CB71996"/>
    <w:rsid w:val="7CDF3F7D"/>
    <w:rsid w:val="7D836D7A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664" w:leftChars="100" w:hanging="454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129" w:leftChars="200" w:hanging="709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customStyle="1" w:styleId="28">
    <w:name w:val="三级标题"/>
    <w:basedOn w:val="1"/>
    <w:qFormat/>
    <w:uiPriority w:val="0"/>
    <w:pPr>
      <w:adjustRightInd w:val="0"/>
      <w:ind w:firstLine="602"/>
      <w:textAlignment w:val="baseline"/>
      <w:outlineLvl w:val="2"/>
    </w:pPr>
    <w:rPr>
      <w:rFonts w:hint="eastAsia" w:ascii="宋体" w:hAnsi="宋体" w:cs="宋体"/>
      <w:b/>
      <w:bCs/>
      <w:color w:val="auto"/>
      <w:spacing w:val="1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6708</Words>
  <Characters>7624</Characters>
  <Lines>0</Lines>
  <Paragraphs>0</Paragraphs>
  <TotalTime>216</TotalTime>
  <ScaleCrop>false</ScaleCrop>
  <LinksUpToDate>false</LinksUpToDate>
  <CharactersWithSpaces>8184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2026-07-24T07:29:50Z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