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7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"/>
        <w:gridCol w:w="636"/>
        <w:gridCol w:w="1192"/>
        <w:gridCol w:w="2285"/>
        <w:gridCol w:w="1834"/>
        <w:gridCol w:w="370"/>
        <w:gridCol w:w="1080"/>
        <w:gridCol w:w="1125"/>
        <w:gridCol w:w="91"/>
      </w:tblGrid>
      <w:tr w14:paraId="128FA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599" w:hRule="atLeast"/>
          <w:jc w:val="center"/>
        </w:trPr>
        <w:tc>
          <w:tcPr>
            <w:tcW w:w="86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4373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sz w:val="44"/>
                <w:szCs w:val="44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w w:val="100"/>
                <w:sz w:val="44"/>
                <w:szCs w:val="44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泉州职业技术大学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w w:val="100"/>
                <w:sz w:val="44"/>
                <w:szCs w:val="4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本科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w w:val="100"/>
                <w:sz w:val="44"/>
                <w:szCs w:val="44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毕业设计任务书</w:t>
            </w:r>
          </w:p>
        </w:tc>
      </w:tr>
      <w:tr w14:paraId="476E3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BE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  院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ascii="Times New Roman" w:hAnsi="Times New Roman" w:eastAsia="仿宋_GB2312"/>
                <w:b w:val="0"/>
                <w:sz w:val="21"/>
              </w:rPr>
              <w:t>能源学院</w:t>
            </w:r>
          </w:p>
        </w:tc>
        <w:tc>
          <w:tcPr>
            <w:tcW w:w="22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7C8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班  级</w:t>
            </w:r>
          </w:p>
        </w:tc>
        <w:tc>
          <w:tcPr>
            <w:tcW w:w="22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1"/>
              </w:rPr>
              <w:t>23级油气储运工程2班</w:t>
            </w:r>
          </w:p>
        </w:tc>
      </w:tr>
      <w:tr w14:paraId="1035D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A4B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  名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ascii="Times New Roman" w:hAnsi="Times New Roman" w:eastAsia="仿宋_GB2312"/>
                <w:b w:val="0"/>
                <w:sz w:val="21"/>
              </w:rPr>
              <w:t>裴慧琳</w:t>
            </w:r>
          </w:p>
        </w:tc>
        <w:tc>
          <w:tcPr>
            <w:tcW w:w="22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184D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  号</w:t>
            </w:r>
          </w:p>
        </w:tc>
        <w:tc>
          <w:tcPr>
            <w:tcW w:w="22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1"/>
              </w:rPr>
              <w:t>23104242</w:t>
            </w:r>
          </w:p>
        </w:tc>
      </w:tr>
      <w:tr w14:paraId="658AC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731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指导教师姓名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1"/>
              </w:rPr>
              <w:t>叶章评  李琦钰</w:t>
            </w:r>
          </w:p>
        </w:tc>
        <w:tc>
          <w:tcPr>
            <w:tcW w:w="22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C7A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指导教师职称</w:t>
            </w:r>
          </w:p>
        </w:tc>
        <w:tc>
          <w:tcPr>
            <w:tcW w:w="22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1"/>
              </w:rPr>
              <w:t>高级工程师  助教</w:t>
            </w:r>
          </w:p>
        </w:tc>
      </w:tr>
      <w:tr w14:paraId="0A7CB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64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毕业设计题目</w:t>
            </w: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1"/>
              </w:rPr>
              <w:t>广州黄埔油库工艺设计</w:t>
            </w:r>
          </w:p>
        </w:tc>
      </w:tr>
      <w:tr w14:paraId="30D39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B5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开展时间</w:t>
            </w: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21"/>
              </w:rPr>
              <w:t>2026年6月1日至2027年3月20日</w:t>
            </w:r>
          </w:p>
        </w:tc>
      </w:tr>
      <w:tr w14:paraId="4E650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3283" w:hRule="atLeast"/>
          <w:jc w:val="center"/>
        </w:trPr>
        <w:tc>
          <w:tcPr>
            <w:tcW w:w="19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DEBFDC">
            <w:pPr>
              <w:jc w:val="center"/>
              <w:rPr>
                <w:rFonts w:hint="eastAsia"/>
              </w:rPr>
            </w:pPr>
          </w:p>
          <w:p w14:paraId="3D57E16A">
            <w:pPr>
              <w:jc w:val="center"/>
              <w:rPr>
                <w:rFonts w:hint="eastAsia"/>
              </w:rPr>
            </w:pPr>
          </w:p>
          <w:p w14:paraId="13008E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设计目的</w:t>
            </w:r>
          </w:p>
          <w:p w14:paraId="7030EB8E">
            <w:pPr>
              <w:jc w:val="center"/>
              <w:rPr>
                <w:rFonts w:hint="eastAsia"/>
              </w:rPr>
            </w:pPr>
          </w:p>
          <w:p w14:paraId="01D4A836">
            <w:pPr>
              <w:jc w:val="center"/>
              <w:rPr>
                <w:rFonts w:hint="eastAsia"/>
              </w:rPr>
            </w:pPr>
          </w:p>
          <w:p w14:paraId="71EEDA82">
            <w:pPr>
              <w:jc w:val="center"/>
              <w:rPr>
                <w:rFonts w:hint="eastAsia"/>
              </w:rPr>
            </w:pPr>
          </w:p>
          <w:p w14:paraId="21A2E770">
            <w:pPr>
              <w:jc w:val="center"/>
              <w:rPr>
                <w:rFonts w:hint="eastAsia"/>
              </w:rPr>
            </w:pP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spacing w:before="0" w:after="0" w:line="276" w:lineRule="auto"/>
              <w:ind w:firstLine="420"/>
              <w:jc w:val="both"/>
              <w:rPr>
                <w:rFonts w:hint="eastAsia"/>
                <w:color w:val="FF0000"/>
              </w:rPr>
            </w:pPr>
            <w:r>
              <w:rPr>
                <w:rFonts w:ascii="Times New Roman" w:hAnsi="Times New Roman" w:eastAsia="仿宋_GB2312"/>
                <w:b w:val="0"/>
                <w:sz w:val="21"/>
              </w:rPr>
              <w:t>本设计针对92号汽油、95号汽油和0号柴油年周转量不同、管道收油与管输及公路发油并存、工艺设备能力需要协调，以及油气挥发、储罐溢流、管道泄漏和火灾事故风险集中等问题，开展广州黄埔成品油库总体与工艺系统设计。</w:t>
            </w:r>
          </w:p>
          <w:p>
            <w:pPr>
              <w:spacing w:before="0" w:after="0" w:line="276" w:lineRule="auto"/>
              <w:ind w:firstLine="420"/>
              <w:jc w:val="both"/>
              <w:rPr>
                <w:rFonts w:hint="eastAsia"/>
                <w:color w:val="FF0000"/>
              </w:rPr>
            </w:pPr>
            <w:r>
              <w:rPr>
                <w:rFonts w:ascii="Times New Roman" w:hAnsi="Times New Roman" w:eastAsia="仿宋_GB2312"/>
                <w:b w:val="0"/>
                <w:sz w:val="21"/>
              </w:rPr>
              <w:t>设计目标是依据三种油品的年周转量、密度、年周转系数K＝14和储罐利用系数分别计算所需库容，配置7座5000 m³立式储罐，其中92号汽油内浮顶罐3座、95号汽油内浮顶罐2座、0号柴油固定顶罐2座。油库实际公称总容量为35000 m³，折算后的储罐计算总容量为30000 m³，油库等级确定为二级。</w:t>
            </w:r>
          </w:p>
          <w:p>
            <w:pPr>
              <w:spacing w:before="0" w:after="0" w:line="276" w:lineRule="auto"/>
              <w:ind w:firstLine="420"/>
              <w:jc w:val="both"/>
              <w:rPr>
                <w:rFonts w:hint="eastAsia"/>
                <w:color w:val="FF0000"/>
              </w:rPr>
            </w:pPr>
            <w:r>
              <w:rPr>
                <w:rFonts w:ascii="Times New Roman" w:hAnsi="Times New Roman" w:eastAsia="仿宋_GB2312"/>
                <w:b w:val="0"/>
                <w:sz w:val="21"/>
              </w:rPr>
              <w:t>在库容和等级确定的基础上，完成四个功能区的总平面布置，建立管道密闭收油、分质储存、管输发油、公路底部装车、同品种倒罐和汽油油气回收流程。三种油品分别设置独立管线和泵组，主输油泵额定流量为60 m³/h、扬程为40 m；油气回收装置处理能力为120 m³/h；消防系统按5000 m³最大单罐事故工况进行设计。</w:t>
            </w:r>
          </w:p>
          <w:p>
            <w:pPr>
              <w:spacing w:before="0" w:after="0" w:line="276" w:lineRule="auto"/>
              <w:ind w:firstLine="420"/>
              <w:jc w:val="both"/>
              <w:rPr>
                <w:rFonts w:hint="eastAsia"/>
                <w:color w:val="FF0000"/>
              </w:rPr>
            </w:pPr>
            <w:r>
              <w:rPr>
                <w:rFonts w:ascii="Times New Roman" w:hAnsi="Times New Roman" w:eastAsia="仿宋_GB2312"/>
                <w:b w:val="0"/>
                <w:sz w:val="21"/>
              </w:rPr>
              <w:t>通过本设计，使储罐容量、管道输送能力、泵组工作点、装车能力、油气回收能力和消防保障能力相互匹配，形成可计算、可校核、可绘图表达的成品油库方案。设计过程综合运用油气储运、流体力学、储罐结构、安全工程和工程制图知识，强化规范检索、工程计算、设备选型和图纸表达能力，并以实际油库建设任务为载体体现产教融合要求。</w:t>
            </w:r>
          </w:p>
        </w:tc>
      </w:tr>
      <w:tr w14:paraId="471C4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3588" w:hRule="atLeast"/>
          <w:jc w:val="center"/>
        </w:trPr>
        <w:tc>
          <w:tcPr>
            <w:tcW w:w="19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D8A052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设计任务</w:t>
            </w: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spacing w:before="0" w:after="0" w:line="276" w:lineRule="auto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20"/>
              </w:rPr>
              <w:t>1. 查阅成品油库总平面、储罐结构、输油管道、泵组选型、密闭装车、油气回收和消防安全等资料，完成不少于15篇中文文献和3篇外文文献的整理，并核实现行国家标准。</w:t>
            </w:r>
          </w:p>
          <w:p>
            <w:pPr>
              <w:spacing w:before="0" w:after="0" w:line="276" w:lineRule="auto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20"/>
              </w:rPr>
              <w:t>2. 整理建设地点、气候条件、油品性质、年周转量及收发油比例，分别计算92号汽油、95号汽油和0号柴油所需库容，确定储罐计算总容量、油库等级及7座5000 m³储罐配置。</w:t>
            </w:r>
          </w:p>
          <w:p>
            <w:pPr>
              <w:spacing w:before="0" w:after="0" w:line="276" w:lineRule="auto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20"/>
              </w:rPr>
              <w:t>3. 完成储油区、装卸区、辅助生产区和行政管理区的分区设计，以及竖向排水、库区道路和综合管线布置，绘制1张油库总平面布置图。</w:t>
            </w:r>
          </w:p>
          <w:p>
            <w:pPr>
              <w:spacing w:before="0" w:after="0" w:line="276" w:lineRule="auto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20"/>
              </w:rPr>
              <w:t>4. 对汽油内浮顶罐和柴油固定顶罐分别进行罐壁厚度、固定顶、内浮顶、抗风稳定、中间抗风圈及主要附件设计，形成5000 m³储罐结构与附件参数汇总。</w:t>
            </w:r>
          </w:p>
          <w:p>
            <w:pPr>
              <w:spacing w:before="0" w:after="0" w:line="276" w:lineRule="auto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20"/>
              </w:rPr>
              <w:t>5. 分别完成汽油和柴油输油管道的管径、流速、管壁厚度、沿程阻力和局部阻力计算，确定主输油泵流量与扬程，并校核装卸能力、允许安装高度和实际安装标高。</w:t>
            </w:r>
          </w:p>
          <w:p>
            <w:pPr>
              <w:spacing w:before="0" w:after="0" w:line="276" w:lineRule="auto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20"/>
              </w:rPr>
              <w:t>6. 完成管道收油、储存、管输发油、公路底部装车、同品种倒罐和汽油油气回收流程设计，明确过滤、计量、阀组、联锁、排污和事故切断要求，绘制1张工艺流程图和1张主要工艺管道布置图。</w:t>
            </w:r>
          </w:p>
          <w:p>
            <w:pPr>
              <w:spacing w:before="0" w:after="0" w:line="276" w:lineRule="auto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20"/>
              </w:rPr>
              <w:t>7. 按最大单罐事故工况完成防火堤、泡沫液储量、消防用水量和消防设施设计，并完成防雷防静电、可燃气体检测、液位联锁、含油污水及事故水收集设计。</w:t>
            </w:r>
          </w:p>
          <w:p>
            <w:pPr>
              <w:spacing w:before="0" w:after="0" w:line="276" w:lineRule="auto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20"/>
              </w:rPr>
              <w:t>8. 编制完整毕业设计说明书，保证公式来源、参数单位、代入过程和校核结果明确；核对说明书与图纸中的储罐数量、设备参数、管径、流向及安全设施，形成可用于毕业设计评审的成果。</w:t>
            </w:r>
          </w:p>
        </w:tc>
      </w:tr>
      <w:tr w14:paraId="5654B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142" w:hRule="atLeast"/>
          <w:jc w:val="center"/>
        </w:trPr>
        <w:tc>
          <w:tcPr>
            <w:tcW w:w="19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4C8DE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主要参考文献</w:t>
            </w: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spacing w:before="0" w:after="0" w:line="180" w:lineRule="exact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[1] 周丽君.成品油库总图布局的注意要点分析[J].中国资源综合利用,2021,39(7):56-58.</w:t>
            </w:r>
          </w:p>
          <w:p>
            <w:pPr>
              <w:spacing w:before="0" w:after="0" w:line="180" w:lineRule="exact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[2] 李雪,包真,傅钰江.成品油管道中间站下载对沿程混油分布的影响[J].油气储运,2023,42(6):678-684.</w:t>
            </w:r>
          </w:p>
          <w:p>
            <w:pPr>
              <w:spacing w:before="0" w:after="0" w:line="180" w:lineRule="exact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[3] 高东平,杨光.大补偿密封在储罐VOCs治理中的应用[J].石油和化工设备,2021,24(8):104-107.</w:t>
            </w:r>
          </w:p>
          <w:p>
            <w:pPr>
              <w:spacing w:before="0" w:after="0" w:line="180" w:lineRule="exact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[4] 丁少君.全接液内浮盘与弹力片补偿密封在成品油储罐上的应用[J].石油化工设备技术,2023,44(5):7-12,17.</w:t>
            </w:r>
          </w:p>
          <w:p>
            <w:pPr>
              <w:spacing w:before="0" w:after="0" w:line="180" w:lineRule="exact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[5] 陆育,惠泉,侯学瑞,等.国内外油库设计标准对比分析[J].石油工业技术监督,2024(5):125-132.</w:t>
            </w:r>
          </w:p>
          <w:p>
            <w:pPr>
              <w:spacing w:before="0" w:after="0" w:line="180" w:lineRule="exact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[6] 龚晓凤,宋长洋,付明福,等.油库火灾爆炸事故致因与网络演化研究[J].安全与环境学报,2024,24(12):4591-4597.</w:t>
            </w:r>
          </w:p>
          <w:p>
            <w:pPr>
              <w:spacing w:before="0" w:after="0" w:line="180" w:lineRule="exact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[7] 陈增良,罗晔,倪钱锋,等.油库油气回收系统的优化模拟设计研究[J].安全、健康和环境,2025,25(9):34-40.</w:t>
            </w:r>
          </w:p>
          <w:p>
            <w:pPr>
              <w:spacing w:before="0" w:after="0" w:line="180" w:lineRule="exact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[8] 王文涛,张培育,张瑞芸.高含铁清罐原油脱铁净化技术的工业实践[J].石油石化绿色低碳,2026,11(2):55-58.</w:t>
            </w:r>
          </w:p>
          <w:p>
            <w:pPr>
              <w:spacing w:before="0" w:after="0" w:line="180" w:lineRule="exact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[9] 刘兵,李勇.油库自动化控制系统设计研究[J].炼油技术与工程,2022,52(8):56-59.</w:t>
            </w:r>
          </w:p>
          <w:p>
            <w:pPr>
              <w:spacing w:before="0" w:after="0" w:line="180" w:lineRule="exact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[10] 王金江,余昊天,张凤丽,等.基于数字孪生的智能油气站场设计与开发[J].油气储运,2022,41(4):391-396.</w:t>
            </w:r>
          </w:p>
          <w:p>
            <w:pPr>
              <w:spacing w:before="0" w:after="0" w:line="180" w:lineRule="exact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[11] 黄鑫,滕林,聂超飞,等.液氨/甲醇/成品油顺序输送技术研究进展[J].油气储运,2023,42(12):1337-1351.</w:t>
            </w:r>
          </w:p>
          <w:p>
            <w:pPr>
              <w:spacing w:before="0" w:after="0" w:line="180" w:lineRule="exact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[12] 杜渐,郑坚钦,夏玉恒,等.耦合混油发展机理与数据修正的成品油管道混油浓度预测[J].油气储运,2024,43(7):796-808.</w:t>
            </w:r>
          </w:p>
          <w:p>
            <w:pPr>
              <w:spacing w:before="0" w:after="0" w:line="180" w:lineRule="exact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[13] 宋进舟,沈亮,郭祎,等.成品油管道顺序输送甲醇混油界面在线检测系统及应用[J].油气储运,2025,44(9):1012-1020.</w:t>
            </w:r>
          </w:p>
          <w:p>
            <w:pPr>
              <w:spacing w:before="0" w:after="0" w:line="180" w:lineRule="exact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[14] 孙清峰,常维纯,刘亮,等.油气储运设施“全国一张网”应急预案体系建设[J].油气储运,2024,43(2):134-143.</w:t>
            </w:r>
          </w:p>
          <w:p>
            <w:pPr>
              <w:spacing w:before="0" w:after="0" w:line="180" w:lineRule="exact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[15] 蒋新生,秦希卓,储汇,等.油气爆炸荷载对储罐结构的毁伤机制及评估[J].油气储运,2024,43(12):1365-1377.</w:t>
            </w:r>
          </w:p>
          <w:p>
            <w:pPr>
              <w:spacing w:before="0" w:after="0" w:line="180" w:lineRule="exact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[16] FISK P, HUYNH T. Towards a digital twin of a storage tank using laser scan data[J]. ISPRS Archives,2021,46:119-126.</w:t>
            </w:r>
          </w:p>
          <w:p>
            <w:pPr>
              <w:spacing w:before="0" w:after="0" w:line="180" w:lineRule="exact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[17] AMERICAN PETROLEUM INSTITUTE. API Standard 650: Welded Tanks for Oil Storage[S]. 14th ed. Washington, DC: API,2025.</w:t>
            </w:r>
          </w:p>
          <w:p>
            <w:pPr>
              <w:spacing w:before="0" w:after="0" w:line="180" w:lineRule="exact"/>
              <w:ind w:firstLine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[18] NATIONAL FIRE PROTECTION ASSOCIATION. NFPA 30: Flammable and Combustible Liquids Code[S]. Quincy, MA: NFPA,2024.</w:t>
            </w:r>
          </w:p>
        </w:tc>
      </w:tr>
      <w:tr w14:paraId="47F25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8615" w:type="dxa"/>
            <w:gridSpan w:val="8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3B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毕业设计进度安排</w:t>
            </w:r>
          </w:p>
        </w:tc>
      </w:tr>
      <w:tr w14:paraId="2FDA9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70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F3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毕业设计各阶段内容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AB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时间安排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89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 w14:paraId="1ECB1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1"/>
              </w:rPr>
              <w:t>1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0"/>
              </w:rPr>
              <w:t>文献与标准查阅、开题报告、库容计算及工艺方案初定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6.1—6.25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0"/>
              </w:rPr>
            </w:r>
          </w:p>
        </w:tc>
      </w:tr>
      <w:tr w14:paraId="5046B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1"/>
              </w:rPr>
              <w:t>2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0"/>
              </w:rPr>
              <w:t>储罐、管道及泵组计算，完成总平面图与工艺流程图草图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6.26—7.14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0"/>
              </w:rPr>
            </w:r>
          </w:p>
        </w:tc>
      </w:tr>
      <w:tr w14:paraId="657D3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1"/>
              </w:rPr>
              <w:t>3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0"/>
              </w:rPr>
              <w:t>完成毕业设计说明书初稿及三类设计图纸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7.15—12.15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0"/>
              </w:rPr>
            </w:r>
          </w:p>
        </w:tc>
      </w:tr>
      <w:tr w14:paraId="79CA8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1"/>
              </w:rPr>
              <w:t>4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0"/>
              </w:rPr>
              <w:t>中期检查、计算复核、说明书与图纸修改定稿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2026.12.16—</w:t>
              <w:br/>
              <w:t>2027.3.14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0"/>
              </w:rPr>
            </w:r>
          </w:p>
        </w:tc>
      </w:tr>
      <w:tr w14:paraId="3C8F7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1"/>
              </w:rPr>
              <w:t>5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0"/>
              </w:rPr>
              <w:t>编制答辩PPT并完成答辩准备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3.15—3.20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仿宋_GB2312"/>
                <w:b w:val="0"/>
                <w:sz w:val="20"/>
              </w:rPr>
            </w:r>
          </w:p>
        </w:tc>
      </w:tr>
      <w:tr w14:paraId="4BAC4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1167" w:hRule="atLeast"/>
          <w:jc w:val="center"/>
          <w:cantSplit/>
        </w:trPr>
        <w:tc>
          <w:tcPr>
            <w:tcW w:w="8615" w:type="dxa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58E1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指导教师签名：                                          </w:t>
            </w: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年   月   日</w:t>
            </w:r>
          </w:p>
        </w:tc>
      </w:tr>
      <w:tr w14:paraId="2A06A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1612" w:hRule="atLeast"/>
          <w:jc w:val="center"/>
          <w:cantSplit/>
        </w:trPr>
        <w:tc>
          <w:tcPr>
            <w:tcW w:w="8615" w:type="dxa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9D549">
            <w:pPr>
              <w:pStyle w:val="5"/>
              <w:ind w:left="0" w:leftChars="0" w:firstLine="0" w:firstLineChars="0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专业意见：</w:t>
            </w:r>
          </w:p>
          <w:p w14:paraId="1EDBF021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380E6502">
            <w:pPr>
              <w:pStyle w:val="5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年   月   日</w:t>
            </w:r>
          </w:p>
        </w:tc>
      </w:tr>
      <w:tr w14:paraId="2F1A2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1926" w:hRule="atLeast"/>
          <w:jc w:val="center"/>
          <w:cantSplit/>
        </w:trPr>
        <w:tc>
          <w:tcPr>
            <w:tcW w:w="8615" w:type="dxa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C834C">
            <w:pPr>
              <w:pStyle w:val="5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学院意见：</w:t>
            </w:r>
          </w:p>
          <w:p w14:paraId="00C7097A">
            <w:pPr>
              <w:pStyle w:val="5"/>
              <w:ind w:left="0" w:leftChars="0" w:firstLine="480" w:firstLineChars="20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该任务书：</w:t>
            </w:r>
          </w:p>
          <w:p w14:paraId="5E3DE354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1.通过；        2.完善后通过；      3.不通过</w:t>
            </w:r>
          </w:p>
          <w:p w14:paraId="734154D8">
            <w:pPr>
              <w:pStyle w:val="5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14866D05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院长签字：              学院盖章：  </w:t>
            </w:r>
          </w:p>
          <w:p w14:paraId="48EE66B8">
            <w:pPr>
              <w:jc w:val="center"/>
              <w:rPr>
                <w:rFonts w:hint="default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</w:t>
            </w:r>
          </w:p>
          <w:p w14:paraId="32C27822">
            <w:pPr>
              <w:pStyle w:val="5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5A2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93" w:type="dxa"/>
          <w:trHeight w:val="90" w:hRule="atLeast"/>
          <w:jc w:val="center"/>
        </w:trPr>
        <w:tc>
          <w:tcPr>
            <w:tcW w:w="8613" w:type="dxa"/>
            <w:gridSpan w:val="8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79F9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注：本表由指导教师填写，经各级审核后下达学生。</w:t>
            </w:r>
          </w:p>
        </w:tc>
      </w:tr>
    </w:tbl>
    <w:sectPr>
      <w:footerReference r:id="rId3" w:type="default"/>
      <w:pgSz w:w="11906" w:h="16838"/>
      <w:pgMar w:top="1440" w:right="1797" w:bottom="1440" w:left="1797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7FD47EFB-72EB-4B8D-B269-7B2E2EA7808E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A2BBCD7F-3DE4-4B31-A59D-10BE3D609DC9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790C7DCE-59CB-472B-B098-862E1096DF9A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4" w:fontKey="{B59BB0E3-90FF-4186-81C7-F9FDEFFCC94B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12ACC">
    <w:pPr>
      <w:pStyle w:val="2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6C98C6">
                          <w:pPr>
                            <w:pStyle w:val="2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t>- 2 -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6C98C6">
                    <w:pPr>
                      <w:pStyle w:val="2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t>- 2 -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B8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5">
    <w:name w:val="正文首行缩进 21"/>
    <w:basedOn w:val="1"/>
    <w:qFormat/>
    <w:uiPriority w:val="0"/>
    <w:pPr>
      <w:spacing w:after="120"/>
      <w:ind w:left="420" w:leftChars="200"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2026-07-31T06:53:27Z</dcterms:created>
  <dc:creator>29366</dc:creator>
  <cp:lastModifiedBy>WPS_1745382907</cp:lastModifiedBy>
  <dcterms:modified xsi:type="dcterms:W3CDTF">2026-07-31T06:53:38Z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eyJoZGlkIjoiMGI2MjU2OTI0MDI1ZDliNTNkYjNiNDk3NTBmYzkxYTYiLCJ1c2VySWQiOiIxNjk1NTQ5MjM3In0=</vt:lpwstr>
  </property>
  <property fmtid="{D5CDD505-2E9C-101B-9397-08002B2CF9AE}" pid="4" name="ICV">
    <vt:lpwstr>09D229CCD05A4DC5A23EF387119F72C3_12</vt:lpwstr>
  </property>
</Properties>
</file>