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80F9B">
      <w:pPr>
        <w:pStyle w:val="8"/>
        <w:bidi w:val="0"/>
        <w:rPr>
          <w:rFonts w:hint="eastAsia"/>
          <w:lang w:val="en-US" w:eastAsia="zh-CN"/>
        </w:rPr>
      </w:pPr>
      <w:r>
        <w:rPr>
          <w:rFonts w:hint="eastAsia"/>
          <w:lang w:val="en-US" w:eastAsia="zh-CN"/>
        </w:rPr>
        <w:t>第4章 油库的总平面设计</w:t>
      </w:r>
    </w:p>
    <w:p>
      <w:pPr>
        <w:pStyle w:val="9"/>
        <w:keepNext/>
        <w:spacing w:before="120" w:after="60"/>
      </w:pPr>
      <w:r>
        <w:t>4.1 油库容量和分级</w:t>
      </w:r>
    </w:p>
    <w:p>
      <w:pPr>
        <w:widowControl/>
        <w:spacing w:line="360" w:lineRule="auto" w:before="0" w:after="0"/>
        <w:ind w:firstLine="480"/>
        <w:jc w:val="both"/>
      </w:pPr>
      <w:r>
        <w:rPr>
          <w:rFonts w:ascii="Times New Roman" w:hAnsi="Times New Roman" w:eastAsia="宋体"/>
          <w:b w:val="0"/>
          <w:sz w:val="24"/>
        </w:rPr>
        <w:t>本章以设计任务给定的油品年周转量、收发方式、建设地点及用地规模为基础。项目位于广州市黄埔区广深公路主干道两旁，占地面积约52万m²；92号汽油、95号汽油和0号柴油的设计年周转量分别为28×10⁴t、15×10⁴t和24×10⁴t。三种油品均采用管道进库，出库采用管输与公路运输相结合的方式。</w:t>
      </w:r>
    </w:p>
    <w:p>
      <w:pPr>
        <w:pStyle w:val="10"/>
        <w:keepNext/>
        <w:spacing w:before="60" w:after="60"/>
        <w:jc w:val="center"/>
      </w:pPr>
      <w:r>
        <w:rPr>
          <w:rFonts w:ascii="Times New Roman" w:hAnsi="Times New Roman" w:eastAsia="宋体"/>
          <w:b/>
          <w:sz w:val="22"/>
        </w:rPr>
        <w:t>表4-1  各油品年周转量及收发油方式</w:t>
      </w:r>
    </w:p>
    <w:tbl>
      <w:tblPr>
        <w:tblStyle w:val="5"/>
        <w:tblW w:type="dxa" w:w="9100"/>
        <w:jc w:val="center"/>
        <w:tblLayout w:type="fixed"/>
        <w:tblLook w:firstColumn="1" w:firstRow="1" w:lastColumn="0" w:lastRow="0" w:noHBand="0" w:noVBand="1" w:val="04A0"/>
        <w:tblInd w:w="0" w:type="dxa"/>
      </w:tblPr>
      <w:tblGrid>
        <w:gridCol w:w="1000"/>
        <w:gridCol w:w="1200"/>
        <w:gridCol w:w="1100"/>
        <w:gridCol w:w="1200"/>
        <w:gridCol w:w="1300"/>
        <w:gridCol w:w="1300"/>
        <w:gridCol w:w="2000"/>
      </w:tblGrid>
      <w:tr>
        <w:tc>
          <w:tcPr>
            <w:tcW w:type="dxa" w:w="10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油品</w:t>
            </w:r>
          </w:p>
        </w:tc>
        <w:tc>
          <w:tcPr>
            <w:tcW w:type="dxa" w:w="12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年进库量</w:t>
              <w:br/>
              <w:t>/(×10⁴t)</w:t>
            </w:r>
          </w:p>
        </w:tc>
        <w:tc>
          <w:tcPr>
            <w:tcW w:type="dxa" w:w="11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进库方式</w:t>
            </w:r>
          </w:p>
        </w:tc>
        <w:tc>
          <w:tcPr>
            <w:tcW w:type="dxa" w:w="12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年出库量</w:t>
              <w:br/>
              <w:t>/(×10⁴t)</w:t>
            </w:r>
          </w:p>
        </w:tc>
        <w:tc>
          <w:tcPr>
            <w:tcW w:type="dxa" w:w="13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管输出库量</w:t>
              <w:br/>
              <w:t>/(×10⁴t)</w:t>
            </w:r>
          </w:p>
        </w:tc>
        <w:tc>
          <w:tcPr>
            <w:tcW w:type="dxa" w:w="13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公路出库量</w:t>
              <w:br/>
              <w:t>/(×10⁴t)</w:t>
            </w:r>
          </w:p>
        </w:tc>
        <w:tc>
          <w:tcPr>
            <w:tcW w:type="dxa" w:w="20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7"/>
              </w:rPr>
              <w:t>出库方式及比例</w:t>
            </w:r>
          </w:p>
        </w:tc>
      </w:tr>
      <w:tr>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92号汽油</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28</w:t>
            </w:r>
          </w:p>
        </w:tc>
        <w:tc>
          <w:tcPr>
            <w:tcW w:type="dxa" w:w="11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管道100%</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28</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23.8</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4.2</w:t>
            </w:r>
          </w:p>
        </w:tc>
        <w:tc>
          <w:tcPr>
            <w:tcW w:type="dxa" w:w="2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管输85%</w:t>
              <w:br/>
              <w:t>公路15%</w:t>
            </w:r>
          </w:p>
        </w:tc>
      </w:tr>
      <w:tr>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95号汽油</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15</w:t>
            </w:r>
          </w:p>
        </w:tc>
        <w:tc>
          <w:tcPr>
            <w:tcW w:type="dxa" w:w="11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管道100%</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15</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13.5</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1.5</w:t>
            </w:r>
          </w:p>
        </w:tc>
        <w:tc>
          <w:tcPr>
            <w:tcW w:type="dxa" w:w="2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管输90%</w:t>
              <w:br/>
              <w:t>公路10%</w:t>
            </w:r>
          </w:p>
        </w:tc>
      </w:tr>
      <w:tr>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0号柴油</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24</w:t>
            </w:r>
          </w:p>
        </w:tc>
        <w:tc>
          <w:tcPr>
            <w:tcW w:type="dxa" w:w="11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管道100%</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24</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21.6</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2.4</w:t>
            </w:r>
          </w:p>
        </w:tc>
        <w:tc>
          <w:tcPr>
            <w:tcW w:type="dxa" w:w="2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管输90%</w:t>
              <w:br/>
              <w:t>公路10%</w:t>
            </w:r>
          </w:p>
        </w:tc>
      </w:tr>
      <w:tr>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合计</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67</w:t>
            </w:r>
          </w:p>
        </w:tc>
        <w:tc>
          <w:tcPr>
            <w:tcW w:type="dxa" w:w="11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w:t>
            </w:r>
          </w:p>
        </w:tc>
        <w:tc>
          <w:tcPr>
            <w:tcW w:type="dxa" w:w="12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67</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58.9</w:t>
            </w:r>
          </w:p>
        </w:tc>
        <w:tc>
          <w:tcPr>
            <w:tcW w:type="dxa" w:w="13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8.1</w:t>
            </w:r>
          </w:p>
        </w:tc>
        <w:tc>
          <w:tcPr>
            <w:tcW w:type="dxa" w:w="2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8"/>
              </w:rPr>
              <w:t>—</w:t>
            </w:r>
          </w:p>
        </w:tc>
      </w:tr>
    </w:tbl>
    <w:p>
      <w:pPr>
        <w:widowControl/>
        <w:spacing w:line="360" w:lineRule="auto" w:before="0" w:after="0"/>
        <w:ind w:firstLine="480"/>
        <w:jc w:val="both"/>
      </w:pPr>
      <w:r>
        <w:rPr>
          <w:rFonts w:ascii="Times New Roman" w:hAnsi="Times New Roman" w:eastAsia="宋体"/>
          <w:b w:val="0"/>
          <w:sz w:val="24"/>
        </w:rPr>
        <w:t>储存容量计算采用《油库毕业设计指导书》第五章式（5-4）。指导书规定油罐利用系数η一般轻油取0.95，并指出周转系数K在具备条件时应结合调查分析确定；本设计按已确认的项目参数取K=14a⁻¹，汽油计算密度取0.75t/m³，0号柴油计算密度取0.84t/m³。</w:t>
      </w:r>
      <w:r>
        <w:rPr>
          <w:rFonts w:ascii="Times New Roman" w:hAnsi="Times New Roman" w:eastAsia="宋体"/>
          <w:b w:val="0"/>
          <w:sz w:val="18"/>
          <w:vertAlign w:val="superscript"/>
        </w:rPr>
        <w:t>[1]</w:t>
      </w:r>
    </w:p>
    <w:p>
      <w:pPr>
        <w:keepNext/>
        <w:spacing w:line="288" w:lineRule="auto" w:before="60" w:after="60"/>
        <w:jc w:val="center"/>
      </w:pPr>
      <w:r>
        <w:rPr>
          <w:rFonts w:ascii="Cambria Math" w:hAnsi="Cambria Math" w:eastAsia="Cambria Math"/>
          <w:b w:val="0"/>
          <w:sz w:val="24"/>
        </w:rPr>
        <w:t>Vᵢ = Gᵢ / (Kᵢρᵢηᵢ)</w:t>
      </w:r>
    </w:p>
    <w:p>
      <w:pPr>
        <w:widowControl/>
        <w:spacing w:line="360" w:lineRule="auto" w:before="0" w:after="0"/>
        <w:ind w:firstLine="480"/>
        <w:jc w:val="both"/>
      </w:pPr>
      <w:r>
        <w:rPr>
          <w:rFonts w:ascii="Times New Roman" w:hAnsi="Times New Roman" w:eastAsia="宋体"/>
          <w:b w:val="0"/>
          <w:sz w:val="24"/>
        </w:rPr>
        <w:t>式中：Vᵢ为第i种油品的计算储存容量，m³；Gᵢ为年周转量，t/a；Kᵢ为年周转系数，a⁻¹；ρᵢ为计算密度，t/m³；ηᵢ为油罐利用系数。</w:t>
      </w:r>
    </w:p>
    <w:p>
      <w:pPr>
        <w:keepNext/>
        <w:spacing w:line="288" w:lineRule="auto" w:before="60" w:after="60"/>
        <w:jc w:val="center"/>
      </w:pPr>
      <w:r>
        <w:rPr>
          <w:rFonts w:ascii="Cambria Math" w:hAnsi="Cambria Math" w:eastAsia="Cambria Math"/>
          <w:b w:val="0"/>
          <w:sz w:val="24"/>
        </w:rPr>
        <w:t>V₉₂ = 280000 / (14×0.75×0.95) = 28070 m³</w:t>
      </w:r>
    </w:p>
    <w:p>
      <w:pPr>
        <w:keepNext/>
        <w:spacing w:line="288" w:lineRule="auto" w:before="60" w:after="60"/>
        <w:jc w:val="center"/>
      </w:pPr>
      <w:r>
        <w:rPr>
          <w:rFonts w:ascii="Cambria Math" w:hAnsi="Cambria Math" w:eastAsia="Cambria Math"/>
          <w:b w:val="0"/>
          <w:sz w:val="24"/>
        </w:rPr>
        <w:t>V₉₅ = 150000 / (14×0.75×0.95) = 15038 m³</w:t>
      </w:r>
    </w:p>
    <w:p>
      <w:pPr>
        <w:keepNext/>
        <w:spacing w:line="288" w:lineRule="auto" w:before="60" w:after="60"/>
        <w:jc w:val="center"/>
      </w:pPr>
      <w:r>
        <w:rPr>
          <w:rFonts w:ascii="Cambria Math" w:hAnsi="Cambria Math" w:eastAsia="Cambria Math"/>
          <w:b w:val="0"/>
          <w:sz w:val="24"/>
        </w:rPr>
        <w:t>V₀号柴油 = 240000 / (14×0.84×0.95) = 21482 m³</w:t>
      </w:r>
    </w:p>
    <w:p>
      <w:pPr>
        <w:widowControl/>
        <w:spacing w:line="360" w:lineRule="auto" w:before="0" w:after="0"/>
        <w:ind w:firstLine="480"/>
        <w:jc w:val="both"/>
      </w:pPr>
      <w:r>
        <w:rPr>
          <w:rFonts w:ascii="Times New Roman" w:hAnsi="Times New Roman" w:eastAsia="宋体"/>
          <w:b w:val="0"/>
          <w:sz w:val="24"/>
        </w:rPr>
        <w:t>计算得到三种油品所需储存容量合计约64590m³。按照同一油品储罐数量不少于2座、兼顾分批接收和检修备用的原则，储罐统一采用10000m³系列：92号汽油设置3座，95号汽油设置2座，0号柴油设置3座，实际公称总容量为80000m³。</w:t>
      </w:r>
    </w:p>
    <w:p>
      <w:pPr>
        <w:pStyle w:val="10"/>
        <w:keepNext/>
        <w:spacing w:before="60" w:after="60"/>
        <w:jc w:val="center"/>
      </w:pPr>
      <w:r>
        <w:rPr>
          <w:rFonts w:ascii="Times New Roman" w:hAnsi="Times New Roman" w:eastAsia="宋体"/>
          <w:b/>
          <w:sz w:val="22"/>
        </w:rPr>
        <w:t>表4-2  储罐容量计算及配置结果</w:t>
      </w:r>
    </w:p>
    <w:tbl>
      <w:tblPr>
        <w:tblStyle w:val="5"/>
        <w:tblW w:type="dxa" w:w="9050"/>
        <w:jc w:val="center"/>
        <w:tblLayout w:type="fixed"/>
        <w:tblLook w:firstColumn="1" w:firstRow="1" w:lastColumn="0" w:lastRow="0" w:noHBand="0" w:noVBand="1" w:val="04A0"/>
        <w:tblInd w:w="0" w:type="dxa"/>
      </w:tblPr>
      <w:tblGrid>
        <w:gridCol w:w="950"/>
        <w:gridCol w:w="1000"/>
        <w:gridCol w:w="700"/>
        <w:gridCol w:w="900"/>
        <w:gridCol w:w="650"/>
        <w:gridCol w:w="1250"/>
        <w:gridCol w:w="2350"/>
        <w:gridCol w:w="1250"/>
      </w:tblGrid>
      <w:tr>
        <w:tc>
          <w:tcPr>
            <w:tcW w:type="dxa" w:w="95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油品</w:t>
            </w:r>
          </w:p>
        </w:tc>
        <w:tc>
          <w:tcPr>
            <w:tcW w:type="dxa" w:w="10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G/(×10⁴t)</w:t>
            </w:r>
          </w:p>
        </w:tc>
        <w:tc>
          <w:tcPr>
            <w:tcW w:type="dxa" w:w="7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K/a⁻¹</w:t>
            </w:r>
          </w:p>
        </w:tc>
        <w:tc>
          <w:tcPr>
            <w:tcW w:type="dxa" w:w="90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ρ/(t/m³)</w:t>
            </w:r>
          </w:p>
        </w:tc>
        <w:tc>
          <w:tcPr>
            <w:tcW w:type="dxa" w:w="65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η</w:t>
            </w:r>
          </w:p>
        </w:tc>
        <w:tc>
          <w:tcPr>
            <w:tcW w:type="dxa" w:w="125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计算容量/m³</w:t>
            </w:r>
          </w:p>
        </w:tc>
        <w:tc>
          <w:tcPr>
            <w:tcW w:type="dxa" w:w="235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储罐配置</w:t>
            </w:r>
          </w:p>
        </w:tc>
        <w:tc>
          <w:tcPr>
            <w:tcW w:type="dxa" w:w="1250"/>
            <w:vAlign w:val="center"/>
            <w:tcMar>
              <w:top w:w="70" w:type="dxa"/>
              <w:left w:w="70" w:type="dxa"/>
              <w:bottom w:w="70" w:type="dxa"/>
              <w:right w:w="70" w:type="dxa"/>
            </w:tcMar>
            <w:shd w:fill="E7E6E6"/>
          </w:tcPr>
          <w:p>
            <w:pPr>
              <w:spacing w:line="276" w:lineRule="auto" w:before="0" w:after="0"/>
              <w:jc w:val="center"/>
            </w:pPr>
            <w:r/>
            <w:r>
              <w:rPr>
                <w:rFonts w:ascii="Times New Roman" w:hAnsi="Times New Roman" w:eastAsia="宋体"/>
                <w:b/>
                <w:sz w:val="16"/>
              </w:rPr>
              <w:t>公称容量/m³</w:t>
            </w:r>
          </w:p>
        </w:tc>
      </w:tr>
      <w:tr>
        <w:tc>
          <w:tcPr>
            <w:tcW w:type="dxa" w:w="9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92号汽油</w:t>
            </w:r>
          </w:p>
        </w:tc>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28</w:t>
            </w:r>
          </w:p>
        </w:tc>
        <w:tc>
          <w:tcPr>
            <w:tcW w:type="dxa" w:w="7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14</w:t>
            </w:r>
          </w:p>
        </w:tc>
        <w:tc>
          <w:tcPr>
            <w:tcW w:type="dxa" w:w="9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0.75</w:t>
            </w:r>
          </w:p>
        </w:tc>
        <w:tc>
          <w:tcPr>
            <w:tcW w:type="dxa" w:w="6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0.95</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28070</w:t>
            </w:r>
          </w:p>
        </w:tc>
        <w:tc>
          <w:tcPr>
            <w:tcW w:type="dxa" w:w="23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3×10000m³内浮顶罐</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30000</w:t>
            </w:r>
          </w:p>
        </w:tc>
      </w:tr>
      <w:tr>
        <w:tc>
          <w:tcPr>
            <w:tcW w:type="dxa" w:w="9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95号汽油</w:t>
            </w:r>
          </w:p>
        </w:tc>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15</w:t>
            </w:r>
          </w:p>
        </w:tc>
        <w:tc>
          <w:tcPr>
            <w:tcW w:type="dxa" w:w="7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14</w:t>
            </w:r>
          </w:p>
        </w:tc>
        <w:tc>
          <w:tcPr>
            <w:tcW w:type="dxa" w:w="9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0.75</w:t>
            </w:r>
          </w:p>
        </w:tc>
        <w:tc>
          <w:tcPr>
            <w:tcW w:type="dxa" w:w="6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0.95</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15038</w:t>
            </w:r>
          </w:p>
        </w:tc>
        <w:tc>
          <w:tcPr>
            <w:tcW w:type="dxa" w:w="23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2×10000m³内浮顶罐</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20000</w:t>
            </w:r>
          </w:p>
        </w:tc>
      </w:tr>
      <w:tr>
        <w:tc>
          <w:tcPr>
            <w:tcW w:type="dxa" w:w="9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0号柴油</w:t>
            </w:r>
          </w:p>
        </w:tc>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24</w:t>
            </w:r>
          </w:p>
        </w:tc>
        <w:tc>
          <w:tcPr>
            <w:tcW w:type="dxa" w:w="7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14</w:t>
            </w:r>
          </w:p>
        </w:tc>
        <w:tc>
          <w:tcPr>
            <w:tcW w:type="dxa" w:w="9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0.84</w:t>
            </w:r>
          </w:p>
        </w:tc>
        <w:tc>
          <w:tcPr>
            <w:tcW w:type="dxa" w:w="6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0.95</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21482</w:t>
            </w:r>
          </w:p>
        </w:tc>
        <w:tc>
          <w:tcPr>
            <w:tcW w:type="dxa" w:w="23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3×10000m³固定顶罐</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30000</w:t>
            </w:r>
          </w:p>
        </w:tc>
      </w:tr>
      <w:tr>
        <w:tc>
          <w:tcPr>
            <w:tcW w:type="dxa" w:w="9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合计</w:t>
            </w:r>
          </w:p>
        </w:tc>
        <w:tc>
          <w:tcPr>
            <w:tcW w:type="dxa" w:w="10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67</w:t>
            </w:r>
          </w:p>
        </w:tc>
        <w:tc>
          <w:tcPr>
            <w:tcW w:type="dxa" w:w="7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w:t>
            </w:r>
          </w:p>
        </w:tc>
        <w:tc>
          <w:tcPr>
            <w:tcW w:type="dxa" w:w="90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w:t>
            </w:r>
          </w:p>
        </w:tc>
        <w:tc>
          <w:tcPr>
            <w:tcW w:type="dxa" w:w="6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64590</w:t>
            </w:r>
          </w:p>
        </w:tc>
        <w:tc>
          <w:tcPr>
            <w:tcW w:type="dxa" w:w="23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8座</w:t>
            </w:r>
          </w:p>
        </w:tc>
        <w:tc>
          <w:tcPr>
            <w:tcW w:type="dxa" w:w="1250"/>
            <w:vAlign w:val="center"/>
            <w:tcMar>
              <w:top w:w="70" w:type="dxa"/>
              <w:left w:w="70" w:type="dxa"/>
              <w:bottom w:w="70" w:type="dxa"/>
              <w:right w:w="70" w:type="dxa"/>
            </w:tcMar>
          </w:tcPr>
          <w:p>
            <w:pPr>
              <w:spacing w:line="276" w:lineRule="auto" w:before="0" w:after="0"/>
              <w:jc w:val="center"/>
            </w:pPr>
            <w:r/>
            <w:r>
              <w:rPr>
                <w:rFonts w:ascii="Times New Roman" w:hAnsi="Times New Roman" w:eastAsia="宋体"/>
                <w:b w:val="0"/>
                <w:sz w:val="17"/>
              </w:rPr>
              <w:t>80000</w:t>
            </w:r>
          </w:p>
        </w:tc>
      </w:tr>
    </w:tbl>
    <w:p>
      <w:pPr>
        <w:widowControl/>
        <w:spacing w:line="360" w:lineRule="auto" w:before="0" w:after="0"/>
        <w:ind w:firstLine="480"/>
        <w:jc w:val="both"/>
      </w:pPr>
      <w:r>
        <w:rPr>
          <w:rFonts w:ascii="Times New Roman" w:hAnsi="Times New Roman" w:eastAsia="宋体"/>
          <w:b w:val="0"/>
          <w:sz w:val="24"/>
        </w:rPr>
        <w:t>依据现行《石油库设计规范》GB 50074—2014第3.0.3条，92号汽油和95号汽油按甲B类液体设计；0号柴油在常温储存、输送且操作温度不超过其闪点的条件下按丙A类液体设计。汽油成品油储罐采用内浮顶储罐，符合该规范第6.1.4条；0号柴油采用固定顶储罐，符合第6.1.5条。</w:t>
      </w:r>
    </w:p>
    <w:p>
      <w:pPr>
        <w:widowControl/>
        <w:spacing w:line="360" w:lineRule="auto" w:before="0" w:after="0"/>
        <w:ind w:firstLine="480"/>
        <w:jc w:val="both"/>
      </w:pPr>
      <w:r>
        <w:rPr>
          <w:rFonts w:ascii="Times New Roman" w:hAnsi="Times New Roman" w:eastAsia="宋体"/>
          <w:b w:val="0"/>
          <w:sz w:val="24"/>
        </w:rPr>
        <w:t>依据GB 50074—2014第3.0.1条表3.0.1及其注2，甲B类液体储罐按实际公称容量计入，丙A类液体储罐容量可乘以0.5计入储罐计算总容量。因此，本油库用于等级划分的储罐计算总容量为：</w:t>
      </w:r>
    </w:p>
    <w:p>
      <w:pPr>
        <w:keepNext/>
        <w:spacing w:line="288" w:lineRule="auto" w:before="60" w:after="60"/>
        <w:jc w:val="center"/>
      </w:pPr>
      <w:r>
        <w:rPr>
          <w:rFonts w:ascii="Cambria Math" w:hAnsi="Cambria Math" w:eastAsia="Cambria Math"/>
          <w:b w:val="0"/>
          <w:sz w:val="24"/>
        </w:rPr>
        <w:t>TV = 30000 + 20000 + 0.5×30000 = 65000 m³</w:t>
      </w:r>
    </w:p>
    <w:p>
      <w:pPr>
        <w:widowControl/>
        <w:spacing w:line="360" w:lineRule="auto" w:before="0" w:after="0"/>
        <w:ind w:firstLine="480"/>
        <w:jc w:val="both"/>
      </w:pPr>
      <w:r>
        <w:rPr>
          <w:rFonts w:ascii="Times New Roman" w:hAnsi="Times New Roman" w:eastAsia="宋体"/>
          <w:b w:val="0"/>
          <w:sz w:val="24"/>
        </w:rPr>
        <w:t>GB 50074—2014第3.0.1条规定，30000m³≤TV＜100000m³的石油库为二级石油库。本设计储罐实际公称总容量为80000m³，折算计算总容量为65000m³，故油库等级确定为二级。</w:t>
      </w:r>
    </w:p>
    <w:p>
      <w:pPr>
        <w:pStyle w:val="9"/>
        <w:keepNext/>
        <w:spacing w:before="120" w:after="60"/>
      </w:pPr>
      <w:r>
        <w:t>4.2 油库分区</w:t>
      </w:r>
    </w:p>
    <w:p>
      <w:pPr>
        <w:widowControl/>
        <w:spacing w:line="360" w:lineRule="auto" w:before="0" w:after="0"/>
        <w:ind w:firstLine="480"/>
        <w:jc w:val="both"/>
      </w:pPr>
      <w:r>
        <w:rPr>
          <w:rFonts w:ascii="Times New Roman" w:hAnsi="Times New Roman" w:eastAsia="宋体"/>
          <w:b w:val="0"/>
          <w:sz w:val="24"/>
        </w:rPr>
        <w:t>依据GB 50074—2014第5.1.1条，石油库总平面宜按储罐区、易燃和可燃液体装卸区、辅助作业区和行政管理区分区布置。本设计相应划分为储油区、装卸区、辅助生产区和行政管理区。各区边界、建（构）筑物位置及防火间距按该规范表5.1.3及相关专门条款校核。</w:t>
      </w:r>
    </w:p>
    <w:p>
      <w:pPr>
        <w:widowControl/>
        <w:spacing w:line="360" w:lineRule="auto" w:before="0" w:after="0"/>
        <w:ind w:firstLine="480"/>
        <w:jc w:val="both"/>
      </w:pPr>
      <w:r>
        <w:rPr>
          <w:rFonts w:ascii="Times New Roman" w:hAnsi="Times New Roman" w:eastAsia="宋体"/>
          <w:b w:val="0"/>
          <w:sz w:val="24"/>
        </w:rPr>
        <w:t>项目建设地点统一采用广州市黄埔区广深公路主干道两旁，占地面积约52万m²。总平面布置以正式用地红线、场地测量资料及周边现状调查为依据；广深公路两侧地块分别组织生产、消防和疏散系统，不将广深公路作为库内循环道路。场地设计标高按GB 50074—2014第5.3.1条确定，避免洪水、潮水及内涝水淹没。</w:t>
      </w:r>
    </w:p>
    <w:p>
      <w:pPr>
        <w:keepNext/>
        <w:spacing w:line="360" w:lineRule="auto" w:before="60" w:after="0"/>
      </w:pPr>
      <w:r>
        <w:rPr>
          <w:rFonts w:ascii="Times New Roman" w:hAnsi="Times New Roman" w:eastAsia="宋体"/>
          <w:b/>
          <w:sz w:val="24"/>
        </w:rPr>
        <w:t>（1）储油区</w:t>
      </w:r>
    </w:p>
    <w:p>
      <w:pPr>
        <w:widowControl/>
        <w:spacing w:line="360" w:lineRule="auto" w:before="0" w:after="0"/>
        <w:ind w:firstLine="480"/>
        <w:jc w:val="both"/>
      </w:pPr>
      <w:r>
        <w:rPr>
          <w:rFonts w:ascii="Times New Roman" w:hAnsi="Times New Roman" w:eastAsia="宋体"/>
          <w:b w:val="0"/>
          <w:sz w:val="24"/>
        </w:rPr>
        <w:t>储油区布置于库区内部相对独立、地质稳定且排水条件良好的位置，设置92号汽油罐组、95号汽油罐组和0号柴油罐组。各罐组采用独立储罐支线和阀组，汽油罐组与柴油罐组分区组织；储罐成组布置、组内总容量、排数、罐间防火距离及防火堤分别按GB 50074—2014第6.1节和第6.5节校核。储罐区不得作为其他功能区的人员或车辆穿行通道。</w:t>
      </w:r>
    </w:p>
    <w:p>
      <w:pPr>
        <w:keepNext/>
        <w:spacing w:line="360" w:lineRule="auto" w:before="60" w:after="0"/>
      </w:pPr>
      <w:r>
        <w:rPr>
          <w:rFonts w:ascii="Times New Roman" w:hAnsi="Times New Roman" w:eastAsia="宋体"/>
          <w:b/>
          <w:sz w:val="24"/>
        </w:rPr>
        <w:t>（2）装卸区</w:t>
      </w:r>
    </w:p>
    <w:p>
      <w:pPr>
        <w:widowControl/>
        <w:spacing w:line="360" w:lineRule="auto" w:before="0" w:after="0"/>
        <w:ind w:firstLine="480"/>
        <w:jc w:val="both"/>
      </w:pPr>
      <w:r>
        <w:rPr>
          <w:rFonts w:ascii="Times New Roman" w:hAnsi="Times New Roman" w:eastAsia="宋体"/>
          <w:b w:val="0"/>
          <w:sz w:val="24"/>
        </w:rPr>
        <w:t>本项目采用管道进库，管输和公路两种方式出库，不设置铁路及水运装卸设施。管道收发油设施靠近外部管道接入侧布置；公路装车区靠近对外道路设置独立车辆出入口，使油罐车不穿越储油区和行政管理区。装车设施、泵站、控制设施及油气回收装置按GB 50074—2014第5.1.1条规定归入公路装卸区。</w:t>
      </w:r>
    </w:p>
    <w:p>
      <w:pPr>
        <w:keepNext/>
        <w:spacing w:line="360" w:lineRule="auto" w:before="60" w:after="0"/>
      </w:pPr>
      <w:r>
        <w:rPr>
          <w:rFonts w:ascii="Times New Roman" w:hAnsi="Times New Roman" w:eastAsia="宋体"/>
          <w:b/>
          <w:sz w:val="24"/>
        </w:rPr>
        <w:t>（3）辅助生产区</w:t>
      </w:r>
    </w:p>
    <w:p>
      <w:pPr>
        <w:widowControl/>
        <w:spacing w:line="360" w:lineRule="auto" w:before="0" w:after="0"/>
        <w:ind w:firstLine="480"/>
        <w:jc w:val="both"/>
      </w:pPr>
      <w:r>
        <w:rPr>
          <w:rFonts w:ascii="Times New Roman" w:hAnsi="Times New Roman" w:eastAsia="宋体"/>
          <w:b w:val="0"/>
          <w:sz w:val="24"/>
        </w:rPr>
        <w:t>辅助生产区布置消防泵房、消防水池、变配电设施、维修及器材储存设施、化验设施和含油污水处理设施。各设施按服务对象和安全条件相对集中，其中消防设施应便于安全接近主要保护对象，变配电及控制设施应避开可能受油品泄漏和火灾直接影响的位置。消防给水系统按GB 50074—2014第12章设置。</w:t>
      </w:r>
    </w:p>
    <w:p>
      <w:pPr>
        <w:keepNext/>
        <w:spacing w:line="360" w:lineRule="auto" w:before="60" w:after="0"/>
      </w:pPr>
      <w:r>
        <w:rPr>
          <w:rFonts w:ascii="Times New Roman" w:hAnsi="Times New Roman" w:eastAsia="宋体"/>
          <w:b/>
          <w:sz w:val="24"/>
        </w:rPr>
        <w:t>（4）行政管理区</w:t>
      </w:r>
    </w:p>
    <w:p>
      <w:pPr>
        <w:widowControl/>
        <w:spacing w:line="360" w:lineRule="auto" w:before="0" w:after="0"/>
        <w:ind w:firstLine="480"/>
        <w:jc w:val="both"/>
      </w:pPr>
      <w:r>
        <w:rPr>
          <w:rFonts w:ascii="Times New Roman" w:hAnsi="Times New Roman" w:eastAsia="宋体"/>
          <w:b w:val="0"/>
          <w:sz w:val="24"/>
        </w:rPr>
        <w:t>行政管理区布置在靠近主要人员出入口、便于对外联系且与生产运输流线分离的位置，主要设置门卫、办公室及必要的管理用房。行政管理区与生产作业区设置受控边界，人员出入口与油罐车出入口分开。未列入设计任务的宿舍、食堂等生活设施不在库区内设置。</w:t>
      </w:r>
    </w:p>
    <w:p>
      <w:pPr>
        <w:pStyle w:val="9"/>
        <w:keepNext/>
        <w:spacing w:before="120" w:after="60"/>
      </w:pPr>
      <w:r>
        <w:t>4.3 库区道路规划</w:t>
      </w:r>
    </w:p>
    <w:p>
      <w:pPr>
        <w:widowControl/>
        <w:spacing w:line="360" w:lineRule="auto" w:before="0" w:after="0"/>
        <w:ind w:firstLine="480"/>
        <w:jc w:val="both"/>
      </w:pPr>
      <w:r>
        <w:rPr>
          <w:rFonts w:ascii="Times New Roman" w:hAnsi="Times New Roman" w:eastAsia="宋体"/>
          <w:b w:val="0"/>
          <w:sz w:val="24"/>
        </w:rPr>
        <w:t>库区道路设计执行GB 50074—2014第5.2节。储罐区设置环形消防车道；汽车罐车装卸设施设置能够保证消防车辆顺利接近作业场地的消防车道。根据第5.2.8条，二级石油库储罐区和装卸区消防车道总宽度不小于6.0m、路面宽度不小于4.0m；本设计考虑消防车辆与油罐车通行，消防主干道路面宽度取6.0m。</w:t>
      </w:r>
    </w:p>
    <w:p>
      <w:pPr>
        <w:widowControl/>
        <w:spacing w:line="360" w:lineRule="auto" w:before="0" w:after="0"/>
        <w:ind w:firstLine="480"/>
        <w:jc w:val="both"/>
      </w:pPr>
      <w:r>
        <w:rPr>
          <w:rFonts w:ascii="Times New Roman" w:hAnsi="Times New Roman" w:eastAsia="宋体"/>
          <w:b w:val="0"/>
          <w:sz w:val="24"/>
        </w:rPr>
        <w:t>多个罐组共用一条环形消防车道时，按第5.2.2条控制环道内罐组总容量不大于120000m³，并在相邻罐组防火堤外堤脚线之间设置宽度不小于7.0m的消防空地。</w:t>
      </w:r>
    </w:p>
    <w:p>
      <w:pPr>
        <w:widowControl/>
        <w:spacing w:line="360" w:lineRule="auto" w:before="0" w:after="0"/>
        <w:ind w:firstLine="480"/>
        <w:jc w:val="both"/>
      </w:pPr>
      <w:r>
        <w:rPr>
          <w:rFonts w:ascii="Times New Roman" w:hAnsi="Times New Roman" w:eastAsia="宋体"/>
          <w:b w:val="0"/>
          <w:sz w:val="24"/>
        </w:rPr>
        <w:t>依据第5.2.3条，除规范规定的例外情形外，储罐至少与1条消防车道相邻，储罐中心至少与2条消防车道的距离均不大于120m；条件受限时，储罐中心至最近消防车道的距离不大于80m。本设计按最近距离不大于80m进行总图校核。消防车道距防火堤外堤脚线不小于3.0m，符合第5.2.7条。</w:t>
      </w:r>
    </w:p>
    <w:p>
      <w:pPr>
        <w:widowControl/>
        <w:spacing w:line="360" w:lineRule="auto" w:before="0" w:after="0"/>
        <w:ind w:firstLine="480"/>
        <w:jc w:val="both"/>
      </w:pPr>
      <w:r>
        <w:rPr>
          <w:rFonts w:ascii="Times New Roman" w:hAnsi="Times New Roman" w:eastAsia="宋体"/>
          <w:b w:val="0"/>
          <w:sz w:val="24"/>
        </w:rPr>
        <w:t>依据第5.2.9条，消防车道净空高度不小于5.0m，转弯半径不宜小于12m。依据第5.2.10条，尽头式消防车道设置回车场；两个路口间消防车道长度大于300m时，在中段增设回车场。回车场平面尺寸按所采用消防车辆的转弯轨迹确定。</w:t>
      </w:r>
    </w:p>
    <w:p>
      <w:pPr>
        <w:widowControl/>
        <w:spacing w:line="360" w:lineRule="auto" w:before="0" w:after="0"/>
        <w:ind w:firstLine="480"/>
        <w:jc w:val="both"/>
      </w:pPr>
      <w:r>
        <w:rPr>
          <w:rFonts w:ascii="Times New Roman" w:hAnsi="Times New Roman" w:eastAsia="宋体"/>
          <w:b w:val="0"/>
          <w:sz w:val="24"/>
        </w:rPr>
        <w:t>依据第5.2.11条，油库设置与公路连接的库外道路，其路面宽度不小于储罐区消防车道路面宽度；油库车辆出入口不少于2处，行政管理区和公路装卸区均设置直接通往库外道路的车辆出入口；储罐区车辆出入口不少于2处并位于不同方位。危险品运输道路纵坡按第5.2.12条控制，不大于6%。</w:t>
      </w:r>
    </w:p>
    <w:p>
      <w:pPr>
        <w:widowControl/>
        <w:spacing w:line="360" w:lineRule="auto" w:before="0" w:after="0"/>
        <w:ind w:firstLine="480"/>
        <w:jc w:val="both"/>
      </w:pPr>
      <w:r>
        <w:rPr>
          <w:rFonts w:ascii="Times New Roman" w:hAnsi="Times New Roman" w:eastAsia="宋体"/>
          <w:b w:val="0"/>
          <w:sz w:val="24"/>
        </w:rPr>
        <w:t>广深公路两侧地块分别形成完整的内部消防道路和对外出入口系统。装车车辆在各自地块内采用单向循环组织，并设置入口检查、等候、装车和驶离路线，避免与行政人员流线交叉。跨地块消防支援利用经批准的外部道路实施，具体路线在消防专项设计及应急预案中确定。</w:t>
      </w:r>
    </w:p>
    <w:p>
      <w:pPr>
        <w:pStyle w:val="9"/>
        <w:keepNext/>
        <w:spacing w:before="120" w:after="60"/>
      </w:pPr>
      <w:r>
        <w:t>4.4 综合管线布置</w:t>
      </w:r>
    </w:p>
    <w:p>
      <w:pPr>
        <w:widowControl/>
        <w:spacing w:line="360" w:lineRule="auto" w:before="0" w:after="0"/>
        <w:ind w:firstLine="480"/>
        <w:jc w:val="both"/>
      </w:pPr>
      <w:r>
        <w:rPr>
          <w:rFonts w:ascii="Times New Roman" w:hAnsi="Times New Roman" w:eastAsia="宋体"/>
          <w:b w:val="0"/>
          <w:sz w:val="24"/>
        </w:rPr>
        <w:t>综合管线包括油品工艺管线、油气回收管线、消防给水及泡沫管线、生产生活给水管线、雨水及含油污水管线、电力电缆和通信控制线路。总平面仅确定管线通道、平面走向及空间关系；管径、水力计算、管材壁厚和阀门选型在相应工艺及公用工程章节确定。</w:t>
      </w:r>
    </w:p>
    <w:p>
      <w:pPr>
        <w:widowControl/>
        <w:spacing w:line="360" w:lineRule="auto" w:before="0" w:after="0"/>
        <w:ind w:firstLine="480"/>
        <w:jc w:val="both"/>
      </w:pPr>
      <w:r>
        <w:rPr>
          <w:rFonts w:ascii="Times New Roman" w:hAnsi="Times New Roman" w:eastAsia="宋体"/>
          <w:b w:val="0"/>
          <w:sz w:val="24"/>
        </w:rPr>
        <w:t>依据GB 50074—2014第9.1.1条和第9.1.17条，油品主体管线采用地上管廊并沿库区道路布置，不穿越与其无关的罐组、装卸设施和泵站。管线沿道路单侧集中设置，不占用消防车道、油罐车通道和回车场；防火堤与消防车道之间的管线不得妨碍消防人员通行和作业，符合第9.1.2条。</w:t>
      </w:r>
    </w:p>
    <w:p>
      <w:pPr>
        <w:widowControl/>
        <w:spacing w:line="360" w:lineRule="auto" w:before="0" w:after="0"/>
        <w:ind w:firstLine="480"/>
        <w:jc w:val="both"/>
      </w:pPr>
      <w:r>
        <w:rPr>
          <w:rFonts w:ascii="Times New Roman" w:hAnsi="Times New Roman" w:eastAsia="宋体"/>
          <w:b w:val="0"/>
          <w:sz w:val="24"/>
        </w:rPr>
        <w:t>管线穿越道路时按第9.1.5条采用涵洞、套管或其他防护措施，交角不宜小于60°。架空管道跨越消防车道时，路面以上净空高度不小于5.0m；跨越其他车行道路时不小于4.5m，符合第9.1.6条。地上管线沿道路平行布置时距路边不小于1.0m，埋地管线不得敷设在路面下方，符合第9.1.8条。</w:t>
      </w:r>
    </w:p>
    <w:p>
      <w:pPr>
        <w:widowControl/>
        <w:spacing w:line="360" w:lineRule="auto" w:before="0" w:after="0"/>
        <w:ind w:firstLine="480"/>
        <w:jc w:val="both"/>
      </w:pPr>
      <w:r>
        <w:rPr>
          <w:rFonts w:ascii="Times New Roman" w:hAnsi="Times New Roman" w:eastAsia="宋体"/>
          <w:b w:val="0"/>
          <w:sz w:val="24"/>
        </w:rPr>
        <w:t>地上工艺管廊按第9.1.4条避开消防泵房、变配电间、办公室和控制室等人员集中建筑；距离小于15m时，面向管道一侧外墙按规范采用无门窗不燃烧体实体墙。金属工艺管线的始端、末端、分支处及直线段每隔200～300m设置防静电和防雷击电磁脉冲接地装置，符合第14.3.10条。</w:t>
      </w:r>
    </w:p>
    <w:p>
      <w:pPr>
        <w:widowControl/>
        <w:spacing w:line="360" w:lineRule="auto" w:before="0" w:after="0"/>
        <w:ind w:firstLine="480"/>
        <w:jc w:val="both"/>
      </w:pPr>
      <w:r>
        <w:rPr>
          <w:rFonts w:ascii="Times New Roman" w:hAnsi="Times New Roman" w:eastAsia="宋体"/>
          <w:b w:val="0"/>
          <w:sz w:val="24"/>
        </w:rPr>
        <w:t>消防给水干管按第12.2.5条在地上储罐区环状敷设，并由两条进水管接入。雨水、生活污水、含油污水和事故水分系统布置，排水走向与场地竖向设计协调。广深公路两侧地块分别形成完整的内部管线系统，本阶段不设置跨广深公路的油品工艺管线；后期确需连通时，应完成专项安全论证及道路、规划审批。</w:t>
      </w:r>
    </w:p>
    <w:p>
      <w:pPr>
        <w:keepNext/>
        <w:spacing w:line="360" w:lineRule="auto" w:before="60" w:after="0"/>
      </w:pPr>
      <w:r>
        <w:rPr>
          <w:rFonts w:ascii="Times New Roman" w:hAnsi="Times New Roman" w:eastAsia="宋体"/>
          <w:b/>
          <w:sz w:val="24"/>
        </w:rPr>
        <w:t>参考资料</w:t>
      </w:r>
    </w:p>
    <w:p>
      <w:pPr>
        <w:widowControl/>
        <w:spacing w:line="360" w:lineRule="auto" w:before="0" w:after="0"/>
        <w:jc w:val="both"/>
      </w:pPr>
      <w:r>
        <w:rPr>
          <w:rFonts w:ascii="Times New Roman" w:hAnsi="Times New Roman" w:eastAsia="宋体"/>
          <w:b w:val="0"/>
          <w:sz w:val="21"/>
        </w:rPr>
        <w:t>[1] 《油库毕业设计指导书》[Z]：第五章，第142—146页、第158页。</w:t>
      </w:r>
    </w:p>
    <w:sectPr>
      <w:footnotePr>
        <w:numFmt w:val="decimalEnclosedCircleChinese"/>
      </w:footnotePr>
      <w:pgSz w:w="11906" w:h="16838"/>
      <w:pgMar w:top="1701" w:right="1134" w:bottom="1417" w:left="1417" w:header="850" w:footer="85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02FD157D">
      <w:pPr>
        <w:spacing w:before="0" w:after="0" w:line="360" w:lineRule="auto"/>
        <w:ind w:firstLine="0"/>
        <w:jc w:val="both"/>
        <w:rPr>
          <w:rFonts w:hint="eastAsia" w:eastAsia="宋体"/>
          <w:lang w:val="en-US" w:eastAsia="zh-CN"/>
        </w:rPr>
      </w:pPr>
      <w:r>
        <w:rPr>
          <w:rStyle w:val="7"/>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CE4F1B"/>
    <w:rsid w:val="1C027D36"/>
    <w:rsid w:val="42BA1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ascii="Times New Roman" w:hAnsi="Times New Roman"/>
      <w:kern w:val="2"/>
      <w:sz w:val="24"/>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footnote text"/>
    <w:basedOn w:val="1"/>
    <w:qFormat/>
    <w:uiPriority w:val="0"/>
    <w:pPr>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otnote reference"/>
    <w:basedOn w:val="6"/>
    <w:qFormat/>
    <w:uiPriority w:val="0"/>
    <w:rPr>
      <w:vertAlign w:val="superscript"/>
    </w:rPr>
  </w:style>
  <w:style w:type="paragraph" w:customStyle="1" w:styleId="8">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9">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10">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8865</Words>
  <Characters>10150</Characters>
  <Lines>0</Lines>
  <Paragraphs>0</Paragraphs>
  <TotalTime>9</TotalTime>
  <ScaleCrop>false</ScaleCrop>
  <LinksUpToDate>false</LinksUpToDate>
  <CharactersWithSpaces>10211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2026-07-20T01:38:00Z</dcterms:created>
  <dc:creator>裴慧琳</dc:creator>
  <cp:lastModifiedBy>WPS_1745382907</cp:lastModifiedBy>
  <dcterms:modified xsi:type="dcterms:W3CDTF">2026-07-20T07:43:49Z</dcterms:modified>
  <dc:title>油库的总平面设计（国标与指导书修正版）</dc:title>
  <dc:subject>广州市黄埔区广深公路主干道两旁二级石油库总平面设计</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65B2B53EAAB54A28AE6A47E3A7CEC643_13</vt:lpwstr>
  </property>
</Properties>
</file>