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A12AA">
      <w:pPr>
        <w:spacing w:before="120" w:after="120" w:line="240" w:lineRule="auto"/>
        <w:jc w:val="center"/>
        <w:rPr>
          <w:rFonts w:hint="eastAsia" w:ascii="Times New Roman" w:hAnsi="Times New Roman" w:eastAsia="宋体"/>
          <w:b/>
          <w:color w:val="000000"/>
          <w:sz w:val="44"/>
          <w:lang w:eastAsia="zh-CN"/>
        </w:rPr>
      </w:pPr>
      <w:r>
        <w:rPr>
          <w:rFonts w:hint="eastAsia" w:ascii="Times New Roman" w:hAnsi="Times New Roman" w:eastAsia="宋体"/>
          <w:b/>
          <w:color w:val="000000"/>
          <w:sz w:val="44"/>
          <w:lang w:eastAsia="zh-CN"/>
        </w:rPr>
        <w:drawing>
          <wp:inline distT="0" distB="0" distL="114300" distR="114300">
            <wp:extent cx="4381500" cy="1117600"/>
            <wp:effectExtent l="0" t="0" r="0" b="6350"/>
            <wp:docPr id="2" name="图片 2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AB96">
      <w:pPr>
        <w:spacing w:before="120" w:after="120" w:line="680" w:lineRule="exact"/>
        <w:jc w:val="center"/>
        <w:rPr>
          <w:rFonts w:hint="eastAsia" w:ascii="黑体" w:hAnsi="黑体" w:eastAsia="黑体" w:cs="黑体"/>
          <w:b/>
          <w:color w:val="000000"/>
          <w:sz w:val="48"/>
          <w:szCs w:val="48"/>
        </w:rPr>
      </w:pPr>
      <w:r>
        <w:rPr>
          <w:rFonts w:hint="eastAsia" w:ascii="黑体" w:hAnsi="黑体" w:eastAsia="黑体" w:cs="黑体"/>
          <w:b/>
          <w:color w:val="000000"/>
          <w:sz w:val="48"/>
          <w:szCs w:val="48"/>
        </w:rPr>
        <w:t>毕  业  设  计  任  务  书</w:t>
      </w:r>
    </w:p>
    <w:p w14:paraId="4D3F2173">
      <w:pPr>
        <w:spacing w:before="0" w:after="200" w:line="520" w:lineRule="exact"/>
        <w:jc w:val="center"/>
        <w:rPr>
          <w:rFonts w:hint="eastAsia" w:ascii="黑体" w:hAnsi="黑体" w:eastAsia="黑体" w:cs="黑体"/>
          <w:b w:val="0"/>
          <w:color w:val="000000"/>
          <w:sz w:val="48"/>
          <w:szCs w:val="48"/>
        </w:rPr>
      </w:pPr>
      <w:r>
        <w:rPr>
          <w:rFonts w:hint="eastAsia" w:ascii="黑体" w:hAnsi="黑体" w:eastAsia="黑体" w:cs="黑体"/>
          <w:b w:val="0"/>
          <w:color w:val="000000"/>
          <w:sz w:val="48"/>
          <w:szCs w:val="48"/>
        </w:rPr>
        <w:t>（理工类）</w:t>
      </w:r>
    </w:p>
    <w:p w14:paraId="182BEB47">
      <w:pPr>
        <w:spacing w:before="0" w:after="200" w:line="240" w:lineRule="auto"/>
        <w:jc w:val="center"/>
        <w:rPr>
          <w:rFonts w:hint="eastAsia" w:ascii="黑体" w:hAnsi="黑体" w:eastAsia="黑体" w:cs="黑体"/>
          <w:b w:val="0"/>
          <w:color w:val="000000"/>
          <w:sz w:val="48"/>
          <w:szCs w:val="48"/>
          <w:lang w:eastAsia="zh-CN"/>
        </w:rPr>
      </w:pPr>
      <w:r>
        <w:rPr>
          <w:rFonts w:hint="eastAsia" w:ascii="黑体" w:hAnsi="黑体" w:eastAsia="黑体" w:cs="黑体"/>
          <w:b w:val="0"/>
          <w:color w:val="000000"/>
          <w:sz w:val="48"/>
          <w:szCs w:val="48"/>
          <w:lang w:eastAsia="zh-CN"/>
        </w:rPr>
        <w:drawing>
          <wp:inline distT="0" distB="0" distL="114300" distR="114300">
            <wp:extent cx="1476375" cy="1381125"/>
            <wp:effectExtent l="0" t="0" r="0" b="0"/>
            <wp:docPr id="3" name="图片 3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979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6"/>
        <w:gridCol w:w="7653"/>
      </w:tblGrid>
      <w:tr w14:paraId="5864C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2146" w:type="dxa"/>
            <w:tcBorders>
              <w:tl2br w:val="nil"/>
              <w:tr2bl w:val="nil"/>
            </w:tcBorders>
            <w:vAlign w:val="center"/>
          </w:tcPr>
          <w:p w14:paraId="0FE53370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题　　目</w:t>
            </w:r>
          </w:p>
        </w:tc>
        <w:tc>
          <w:tcPr>
            <w:tcW w:w="7653" w:type="dxa"/>
            <w:tcBorders>
              <w:tl2br w:val="nil"/>
              <w:tr2bl w:val="nil"/>
            </w:tcBorders>
            <w:vAlign w:val="center"/>
          </w:tcPr>
          <w:p w14:paraId="723C616E">
            <w:pPr>
              <w:spacing w:before="40" w:after="40" w:line="30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岁月镜（AgeMorph3D）——基于YOLO与三维形变模型的跨年龄三维人脸重建及可视化系统</w:t>
            </w:r>
          </w:p>
        </w:tc>
      </w:tr>
      <w:tr w14:paraId="37576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2146" w:type="dxa"/>
            <w:tcBorders>
              <w:tl2br w:val="nil"/>
              <w:tr2bl w:val="nil"/>
            </w:tcBorders>
            <w:vAlign w:val="center"/>
          </w:tcPr>
          <w:p w14:paraId="7428709C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学生姓名</w:t>
            </w:r>
          </w:p>
        </w:tc>
        <w:tc>
          <w:tcPr>
            <w:tcW w:w="7653" w:type="dxa"/>
            <w:tcBorders>
              <w:tl2br w:val="nil"/>
              <w:tr2bl w:val="nil"/>
            </w:tcBorders>
            <w:vAlign w:val="center"/>
          </w:tcPr>
          <w:p w14:paraId="08112866">
            <w:pPr>
              <w:spacing w:before="40" w:after="40" w:line="30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＿＿＿＿＿＿＿＿（组长）　　　　＿＿＿＿＿＿＿＿（组员）</w:t>
            </w:r>
          </w:p>
        </w:tc>
      </w:tr>
      <w:tr w14:paraId="6549F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2146" w:type="dxa"/>
            <w:tcBorders>
              <w:tl2br w:val="nil"/>
              <w:tr2bl w:val="nil"/>
            </w:tcBorders>
            <w:vAlign w:val="center"/>
          </w:tcPr>
          <w:p w14:paraId="0DE635F6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学　　号</w:t>
            </w:r>
          </w:p>
        </w:tc>
        <w:tc>
          <w:tcPr>
            <w:tcW w:w="7653" w:type="dxa"/>
            <w:tcBorders>
              <w:tl2br w:val="nil"/>
              <w:tr2bl w:val="nil"/>
            </w:tcBorders>
            <w:vAlign w:val="center"/>
          </w:tcPr>
          <w:p w14:paraId="1C3433FD">
            <w:pPr>
              <w:spacing w:before="40" w:after="40" w:line="30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＿＿＿＿＿＿＿＿＿＿＿＿　　　　＿＿＿＿＿＿＿＿＿＿＿＿</w:t>
            </w:r>
          </w:p>
        </w:tc>
      </w:tr>
      <w:tr w14:paraId="0D126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2146" w:type="dxa"/>
            <w:tcBorders>
              <w:tl2br w:val="nil"/>
              <w:tr2bl w:val="nil"/>
            </w:tcBorders>
            <w:vAlign w:val="center"/>
          </w:tcPr>
          <w:p w14:paraId="03FBE31E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专　　业</w:t>
            </w:r>
          </w:p>
        </w:tc>
        <w:tc>
          <w:tcPr>
            <w:tcW w:w="7653" w:type="dxa"/>
            <w:tcBorders>
              <w:tl2br w:val="nil"/>
              <w:tr2bl w:val="nil"/>
            </w:tcBorders>
            <w:vAlign w:val="center"/>
          </w:tcPr>
          <w:p w14:paraId="3D4525CA">
            <w:pPr>
              <w:spacing w:before="40" w:after="40" w:line="30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计算机科学与技术</w:t>
            </w:r>
          </w:p>
        </w:tc>
      </w:tr>
      <w:tr w14:paraId="1E0DE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2146" w:type="dxa"/>
            <w:tcBorders>
              <w:tl2br w:val="nil"/>
              <w:tr2bl w:val="nil"/>
            </w:tcBorders>
            <w:vAlign w:val="center"/>
          </w:tcPr>
          <w:p w14:paraId="04F71916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年　　级</w:t>
            </w:r>
          </w:p>
        </w:tc>
        <w:tc>
          <w:tcPr>
            <w:tcW w:w="7653" w:type="dxa"/>
            <w:tcBorders>
              <w:tl2br w:val="nil"/>
              <w:tr2bl w:val="nil"/>
            </w:tcBorders>
            <w:vAlign w:val="center"/>
          </w:tcPr>
          <w:p w14:paraId="14684B8C">
            <w:pPr>
              <w:spacing w:before="40" w:after="40" w:line="30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2023级</w:t>
            </w:r>
          </w:p>
        </w:tc>
      </w:tr>
      <w:tr w14:paraId="06FE6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2146" w:type="dxa"/>
            <w:tcBorders>
              <w:tl2br w:val="nil"/>
              <w:tr2bl w:val="nil"/>
            </w:tcBorders>
            <w:vAlign w:val="center"/>
          </w:tcPr>
          <w:p w14:paraId="4F87232E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学　　院</w:t>
            </w:r>
          </w:p>
        </w:tc>
        <w:tc>
          <w:tcPr>
            <w:tcW w:w="7653" w:type="dxa"/>
            <w:tcBorders>
              <w:tl2br w:val="nil"/>
              <w:tr2bl w:val="nil"/>
            </w:tcBorders>
            <w:vAlign w:val="center"/>
          </w:tcPr>
          <w:p w14:paraId="44808DFC">
            <w:pPr>
              <w:spacing w:before="40" w:after="40" w:line="30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计算机与软件工程学院</w:t>
            </w:r>
          </w:p>
        </w:tc>
      </w:tr>
      <w:tr w14:paraId="5DC1B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  <w:jc w:val="center"/>
        </w:trPr>
        <w:tc>
          <w:tcPr>
            <w:tcW w:w="2146" w:type="dxa"/>
            <w:tcBorders>
              <w:tl2br w:val="nil"/>
              <w:tr2bl w:val="nil"/>
            </w:tcBorders>
            <w:vAlign w:val="center"/>
          </w:tcPr>
          <w:p w14:paraId="10BFF8AE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4"/>
              </w:rPr>
              <w:t>指导教师</w:t>
            </w:r>
          </w:p>
        </w:tc>
        <w:tc>
          <w:tcPr>
            <w:tcW w:w="7653" w:type="dxa"/>
            <w:tcBorders>
              <w:tl2br w:val="nil"/>
              <w:tr2bl w:val="nil"/>
            </w:tcBorders>
            <w:vAlign w:val="center"/>
          </w:tcPr>
          <w:p w14:paraId="6D66B1CD">
            <w:pPr>
              <w:spacing w:before="40" w:after="40" w:line="30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＿＿＿＿＿＿＿＿</w:t>
            </w:r>
          </w:p>
        </w:tc>
      </w:tr>
    </w:tbl>
    <w:p w14:paraId="40CEE05B">
      <w:pPr>
        <w:spacing w:before="240" w:after="40" w:line="480" w:lineRule="exact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教务处制</w:t>
      </w:r>
    </w:p>
    <w:p w14:paraId="7F0FA418">
      <w:pPr>
        <w:spacing w:before="0" w:after="160" w:line="480" w:lineRule="exact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2026年12月</w:t>
      </w:r>
    </w:p>
    <w:p w14:paraId="53330EE9">
      <w:pPr>
        <w:spacing w:before="200" w:after="80" w:line="480" w:lineRule="exact"/>
      </w:pPr>
      <w:r>
        <w:rPr>
          <w:rFonts w:ascii="Times New Roman" w:hAnsi="Times New Roman" w:eastAsia="黑体"/>
          <w:b/>
          <w:color w:val="000000"/>
          <w:sz w:val="28"/>
        </w:rPr>
        <w:t>毕业设计任务与要求：</w:t>
      </w:r>
    </w:p>
    <w:p w14:paraId="7DEF6A43">
      <w:pPr>
        <w:spacing w:before="200" w:after="80" w:line="480" w:lineRule="exact"/>
      </w:pPr>
      <w:r>
        <w:rPr>
          <w:rFonts w:ascii="Times New Roman" w:hAnsi="Times New Roman" w:eastAsia="黑体"/>
          <w:b/>
          <w:color w:val="000000"/>
          <w:sz w:val="28"/>
        </w:rPr>
        <w:t>一、课题研究背景与意义</w:t>
      </w:r>
    </w:p>
    <w:p w14:paraId="752EF915">
      <w:pPr>
        <w:spacing w:before="120" w:after="40" w:line="400" w:lineRule="exact"/>
      </w:pPr>
      <w:r>
        <w:rPr>
          <w:rFonts w:ascii="Times New Roman" w:hAnsi="Times New Roman" w:eastAsia="黑体"/>
          <w:b/>
          <w:color w:val="000000"/>
          <w:sz w:val="24"/>
        </w:rPr>
        <w:t>（一）研究背景</w:t>
      </w:r>
    </w:p>
    <w:p w14:paraId="6CC88598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三维人脸重建与年龄可视化是计算机视觉、计算机图形学与深度学习交叉领域的前沿方向。传统三维人脸采集依赖三维扫描仪、结构光或多目相机等精密设备，成本高、周期长，难以普及；基于三维形变模型（3D Morphable Model，3DMM）的回归方法只需一张普通照片即可恢复人脸的三维形状、表情与纹理，大幅降低了三维内容的创作门槛，已成为数字人、虚拟试戴、影视特效、游戏捏脸、医疗美容预演等应用的核心技术。</w:t>
      </w:r>
    </w:p>
    <w:p w14:paraId="61C88FA2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与此同时，“看到自己未来的样子”存在广泛而真实的需求：影视制作需要角色老化/减龄预演，寻亲与社会救助需要依据童年照片推断失踪儿童多年后的样貌，跨年龄人脸识别需要缓解年龄变化带来的特征衰减，个人用户则希望通过形象预览辅助美容、美发等决策。二维人脸年龄变换（基于GAN与扩散模型）已较为成熟，但在三维空间中的年龄变换研究2023年以来才陆续出现，公开可用的实现极少。</w:t>
      </w:r>
    </w:p>
    <w:p w14:paraId="789F3A2E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另一方面，WebGL与three.js等Web三维技术的普及，使三维应用从“下载安装”走向“打开浏览器即用”。将人脸检测、三维重建、年龄变换与Web三维可视化集成为完整系统，让用户在摄像头前实时看到自己不同年龄的三维头像，具有明确的技术可行性与应用价值。但截至目前，开源社区尚未见“摄像头—三维头模—跨年龄”完整链路的实现，本课题即面向这一空白。</w:t>
      </w:r>
    </w:p>
    <w:p w14:paraId="24B9E381">
      <w:pPr>
        <w:spacing w:before="120" w:after="40" w:line="400" w:lineRule="exact"/>
      </w:pPr>
      <w:r>
        <w:rPr>
          <w:rFonts w:ascii="Times New Roman" w:hAnsi="Times New Roman" w:eastAsia="黑体"/>
          <w:b/>
          <w:color w:val="000000"/>
          <w:sz w:val="24"/>
        </w:rPr>
        <w:t>（二）研究意义</w:t>
      </w:r>
    </w:p>
    <w:p w14:paraId="644D058B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 学术意义：本课题将YOLO人脸检测、3DMM单图重建、二维年龄变换模型与Web三维可视化集成为完整系统，覆盖“检测—重建—变换—渲染”全链路。核心创新点在于用数据统计方法估计形变模型空间中的“年龄方向”——利用带年龄标签的大规模人脸数据集批量重建获得形状参数，再按年龄回归得到统计意义上的年龄变化方向，将三维老化解耦为形状形变与纹理老化两部分。该思路与ICME 2024的3D-STD方法一致，但由本团队自行实现，可加深对参数化三维人脸模型数学本质的理解。</w:t>
      </w:r>
    </w:p>
    <w:p w14:paraId="405E6235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 应用价值：系统完全在本地处理人脸数据，不依赖云端，规避隐私风险；浏览器直接运行、无需安装，可应用于个人形象预览、影视角色预演、教学演示等场景；“仅传参数、不传网格”的轻量架构可复用于其他3DMM应用。</w:t>
      </w:r>
    </w:p>
    <w:p w14:paraId="2A1B0D5C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 工程意义：课题涉及深度学习推理优化（ONNX）、前后端分离与实时通信（WebSocket）、三维资产导出（glTF）等工程实践，能够综合训练本科阶段的工程能力。</w:t>
      </w:r>
    </w:p>
    <w:p w14:paraId="398AAA2D">
      <w:pPr>
        <w:spacing w:before="120" w:after="40" w:line="400" w:lineRule="exact"/>
      </w:pPr>
      <w:r>
        <w:rPr>
          <w:rFonts w:ascii="Times New Roman" w:hAnsi="Times New Roman" w:eastAsia="黑体"/>
          <w:b/>
          <w:color w:val="000000"/>
          <w:sz w:val="24"/>
        </w:rPr>
        <w:t>（三）国内外研究现状</w:t>
      </w:r>
    </w:p>
    <w:p w14:paraId="1603473F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 三维形变模型：Blanz与Vetter于1999年提出3DMM（SIGGRAPH），奠定参数化人脸建模基础；BFM（2009）附带年龄、性别等属性方向；FLAME（TOG 2017）扩展为包含颅形、颈部与眼球的全头模型；LSFM（IJCV 2018，9663人）、LYHM（IJCV 2020，全头）等大规模模型按年龄组建模；Google于2026年发布的GNM Head（Apache-2.0协议）进一步免除了模型许可障碍。</w:t>
      </w:r>
    </w:p>
    <w:p w14:paraId="6300B83D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 单图三维人脸重建：从PRNet（ECCV 2018）到3DDFA_V2（ECCV 2020，轻量、CPU实时）、DECA（SIGGRAPH 2021）、MICA（ECCV 2022，度量精度高）、HRN（CVPR 2023）等，预训练模型已可直接集成。</w:t>
      </w:r>
    </w:p>
    <w:p w14:paraId="627ABD56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 人脸检测：YOLO系列持续演进，YOLO5Face（ECCV Workshops 2022）验证了YOLO架构在人脸检测（含5个关键点）上的有效性。</w:t>
      </w:r>
    </w:p>
    <w:p w14:paraId="4EC3F2EF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 人脸年龄变换：二维方向从CAAE（CVPR 2017）、IPCGAN（CVPR 2018）、LATS（ECCV 2020，含头型变化）发展到SAM（SIGGRAPH 2021，连续年龄控制）及扩散模型方案（FADING，BMVC 2023；Cradle2Cane，NeurIPS 2025）；三维方向以3D-STD（ICME 2024，形状—纹理解耦）与DiffAge3D（2024）为代表，但均未发布可用代码。</w:t>
      </w:r>
    </w:p>
    <w:p w14:paraId="0DA75E61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 Web三维可视化：three.js的morph target机制与官方示例（webgl_morphtargets_webcam）为本系统的前端实现提供了直接参考。</w:t>
      </w:r>
    </w:p>
    <w:p w14:paraId="29E248F5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综上，单项技术均较成熟，但完整链路的开源系统缺失，本课题的集成工作具有实际创新空间。</w:t>
      </w:r>
    </w:p>
    <w:p w14:paraId="18A2CCE9">
      <w:pPr>
        <w:spacing w:before="200" w:after="80" w:line="480" w:lineRule="exact"/>
      </w:pPr>
      <w:r>
        <w:rPr>
          <w:rFonts w:ascii="Times New Roman" w:hAnsi="Times New Roman" w:eastAsia="黑体"/>
          <w:b/>
          <w:color w:val="000000"/>
          <w:sz w:val="28"/>
        </w:rPr>
        <w:t>二、研究内容与技术路线</w:t>
      </w:r>
    </w:p>
    <w:p w14:paraId="33C1419D">
      <w:pPr>
        <w:spacing w:before="120" w:after="40" w:line="400" w:lineRule="exact"/>
      </w:pPr>
      <w:r>
        <w:rPr>
          <w:rFonts w:ascii="Times New Roman" w:hAnsi="Times New Roman" w:eastAsia="黑体"/>
          <w:b/>
          <w:color w:val="000000"/>
          <w:sz w:val="24"/>
        </w:rPr>
        <w:t>（一）研究目标与内容</w:t>
      </w:r>
    </w:p>
    <w:p w14:paraId="7AFAE0A0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总体目标：设计并实现“岁月镜（AgeMorph3D）”系统——用户面对摄像头或上传一张照片，系统自动检测人脸并重建为三维头模；用户拖动年龄滑块（20—70岁），即可在浏览器中实时预览自己在不同年龄的三维形象，并可导出三维模型与效果图。</w:t>
      </w:r>
    </w:p>
    <w:p w14:paraId="17FF8206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围绕总体目标，课题由三个模块构成：</w:t>
      </w:r>
    </w:p>
    <w:p w14:paraId="1FEBB065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模块一：人脸检测与对齐。以YOLO26n-face人脸检测器替换3DDFA_V2自带的FaceBoxes，输出人脸框与5个关键点，完成裁剪与对齐；在WIDER FACE数据集上微调，报告mAP与FPS，作为论文“模型训练与实验”章节的内容。</w:t>
      </w:r>
    </w:p>
    <w:p w14:paraId="1BFCCDCC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模块二：单图三维人脸重建。保底方案采用3DDFA_V2＋BFM（自带处理好的模型文件与摄像头演示，CPU可实时运行）；主线方案采用MICA＋FLAME获得全头模型（脸型估计更准确）。输出形状参数β、表情参数ψ、头部姿态与UV纹理贴图。</w:t>
      </w:r>
    </w:p>
    <w:p w14:paraId="2910827F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模块三：跨年龄变换与三维可视化。（1）年龄方向估计（核心创新）：保底做法是将BFM 2009自带的年龄属性方向换算为逐顶点位移，作为three.js的morph target；主线做法是用带年龄标签的UTKFace、FFHQ-Aging数据集批量重建，获得大量FLAME形状参数后按年龄回归，得到FLAME空间的年龄方向，按β′＝β＋w(age)·Δβ_age进行形状老化。（2）纹理老化：用SAM生成目标年龄的人脸照片，经UV展开贴回三维模型，表现皱纹、肤色等纹理变化。（3）可视化：将年龄方向导出为glTF的morph target，前端用three.js渲染，通过滑块控制权重。</w:t>
      </w:r>
    </w:p>
    <w:p w14:paraId="70A6B3F4">
      <w:pPr>
        <w:spacing w:before="120" w:after="40" w:line="400" w:lineRule="exact"/>
      </w:pPr>
      <w:r>
        <w:rPr>
          <w:rFonts w:ascii="Times New Roman" w:hAnsi="Times New Roman" w:eastAsia="黑体"/>
          <w:b/>
          <w:color w:val="000000"/>
          <w:sz w:val="24"/>
        </w:rPr>
        <w:t>（二）技术路线</w:t>
      </w:r>
    </w:p>
    <w:p w14:paraId="23C87300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系统流水线：摄像头/照片 → YOLO26n-face检测 → 裁剪对齐 → 3DMM回归（3DDFA_V2/MICA）→ 形状β、表情ψ、姿态、UV纹理 → 年龄变换β′＝β＋w(age)·Δβ_age，纹理经SAM生成 → 导出glTF（年龄方向为morph target）→ three.js渲染＋年龄滑块。</w:t>
      </w:r>
    </w:p>
    <w:p w14:paraId="28BCB81A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架构采用前后端分离：后端（Python/FastAPI）负责任务密集的人脸检测、三维重建与年龄变换，模型以ONNX导出以保证推理速度；前端（three.js）一次性加载模板网格与形状基，通过WebSocket与后端交互，每帧仅传输数十个浮点参数而不传输网格数据（FLAME仅5023个顶点，适合在浏览器端完成形变计算）；实时流程（检测、姿态驱动）逐帧进行，年龄变换按“拍照—生成—查看”的离线流程执行。</w:t>
      </w:r>
    </w:p>
    <w:p w14:paraId="364CF3B2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实施策略采用“保底＋主线”双路径：保底版（约6—8周，确保按期毕业）为YOLO＋3DDFA_V2＋BFM年龄方向＋three.js；主线版为MICA＋FLAME＋自估计年龄方向＋SAM纹理；可选加分版将LAM、FaceLift、混元Hunyuan3D-2.1等单图三维生成方法置于对比展示部分（非参数化模型，无法实现年龄滑块）。</w:t>
      </w:r>
    </w:p>
    <w:p w14:paraId="5F2995F4">
      <w:pPr>
        <w:spacing w:before="120" w:after="40" w:line="400" w:lineRule="exact"/>
      </w:pPr>
      <w:r>
        <w:rPr>
          <w:rFonts w:ascii="Times New Roman" w:hAnsi="Times New Roman" w:eastAsia="黑体"/>
          <w:b/>
          <w:color w:val="000000"/>
          <w:sz w:val="24"/>
        </w:rPr>
        <w:t>（三）开发与运行环境</w:t>
      </w:r>
    </w:p>
    <w:p w14:paraId="682FFDBD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开发工具：Python、PyTorch、OpenCV、ONNX Runtime、FastAPI、JavaScript/three.js；开发环境为PyCharm/VS Code＋WSL2 Ubuntu＋Git。</w:t>
      </w:r>
    </w:p>
    <w:p w14:paraId="339DF389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硬件平台：RTX 5060 Laptop（8GB显存）、31GB内存、Windows 11＋WSL2 Ubuntu。需注意：50系显卡要求CUDA 12.8与PyTorch 2.7以上版本；扩散类模型在8GB显存上采用半精度推理。</w:t>
      </w:r>
    </w:p>
    <w:p w14:paraId="60BE5E14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运行环境：PC，Windows/Linux，Chrome/Edge等支持WebGL 2.0的浏览器。</w:t>
      </w:r>
    </w:p>
    <w:p w14:paraId="6609BA8D">
      <w:pPr>
        <w:spacing w:before="200" w:after="80" w:line="480" w:lineRule="exact"/>
      </w:pPr>
      <w:r>
        <w:rPr>
          <w:rFonts w:ascii="Times New Roman" w:hAnsi="Times New Roman" w:eastAsia="黑体"/>
          <w:b/>
          <w:color w:val="000000"/>
          <w:sz w:val="28"/>
        </w:rPr>
        <w:t>三、二人小组分工协作方式</w:t>
      </w:r>
    </w:p>
    <w:p w14:paraId="3E2C702E">
      <w:pPr>
        <w:spacing w:before="120" w:after="40" w:line="400" w:lineRule="exact"/>
      </w:pPr>
      <w:r>
        <w:rPr>
          <w:rFonts w:ascii="Times New Roman" w:hAnsi="Times New Roman" w:eastAsia="黑体"/>
          <w:b/>
          <w:color w:val="000000"/>
          <w:sz w:val="24"/>
        </w:rPr>
        <w:t>（一）团队组成与分工</w:t>
      </w:r>
    </w:p>
    <w:p w14:paraId="747AEF7E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本课题由2人组成开发团队，按照“算法—系统”双线分工，职责清晰、接口明确：</w:t>
      </w:r>
    </w:p>
    <w:p w14:paraId="65C49A5D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组长（学生A）：负责三维重建与年龄变换算法模块。包括YOLO人脸检测集成与WIDER FACE微调、3DMM回归（3DDFA_V2/MICA）集成与优化、BFM/FLAME年龄方向估计、SAM纹理老化、算法实验与评价指标测试，并负责论文算法章节的撰写。</w:t>
      </w:r>
    </w:p>
    <w:p w14:paraId="3126D02C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组员（学生B）：负责可视化系统与工程实现模块。包括毕设课题的经济效益与社会贡献分析、法律法规/健康/安全/环境关联分析、技术选型对比分析；three.js三维渲染、morph target年龄滑块与纹理映射、前端UI与交互、FastAPI＋WebSocket后端服务、glTF导出接口、系统集成测试与演示视频录制，并负责论文系统章节的撰写。</w:t>
      </w:r>
    </w:p>
    <w:p w14:paraId="536D2F37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二人共同承担：文献调研、开题报告、系统总体设计、前后端接口约定、论文绪论与总结章节、数据合规文档。</w:t>
      </w:r>
    </w:p>
    <w:p w14:paraId="0C524914">
      <w:pPr>
        <w:spacing w:before="120" w:after="40" w:line="400" w:lineRule="exact"/>
      </w:pPr>
      <w:r>
        <w:rPr>
          <w:rFonts w:ascii="Times New Roman" w:hAnsi="Times New Roman" w:eastAsia="黑体"/>
          <w:b/>
          <w:color w:val="000000"/>
          <w:sz w:val="24"/>
        </w:rPr>
        <w:t>（二）协作机制</w:t>
      </w:r>
    </w:p>
    <w:p w14:paraId="25D99690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 代码管理：使用Git仓库（GitHub/Gitee）托管全部代码与文档，采用分支开发与约定式提交，关键节点打标签；</w:t>
      </w:r>
    </w:p>
    <w:p w14:paraId="38CC9406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 接口先行：开发前先共同确定前后端接口文档（JSON参数格式），后端提供Mock数据，双方并行开发、后期联调；</w:t>
      </w:r>
    </w:p>
    <w:p w14:paraId="6800F5C2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 进度同步：每周至少一次例会同步进度与问题，使用在线文档维护任务看板，里程碑与学校时间节点对齐；</w:t>
      </w:r>
    </w:p>
    <w:p w14:paraId="52DFD4D9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 质量保障：互相进行代码审查，模块完成后先经单元测试再集成；模型文件、数据集等大文件不入库，通过说明文档记录获取方式；</w:t>
      </w:r>
    </w:p>
    <w:p w14:paraId="3C101AC5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 问题升级：技术阻塞超过一周未解决时，共同向指导教师汇报，及时调整方案（如从主线版切换至保底版）。</w:t>
      </w:r>
    </w:p>
    <w:p w14:paraId="3DD22CFB">
      <w:pPr>
        <w:spacing w:before="200" w:after="80" w:line="480" w:lineRule="exact"/>
      </w:pPr>
      <w:r>
        <w:rPr>
          <w:rFonts w:ascii="Times New Roman" w:hAnsi="Times New Roman" w:eastAsia="黑体"/>
          <w:b/>
          <w:color w:val="000000"/>
          <w:sz w:val="28"/>
        </w:rPr>
        <w:t>四、预期成果形式</w:t>
      </w:r>
    </w:p>
    <w:p w14:paraId="130433F3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 软件系统：“岁月镜”Web应用一套，支持摄像头实时检测、三维头模重建、年龄滑块（20—70岁）跨年龄预览与glTF导出，在Chrome/Edge浏览器中运行；</w:t>
      </w:r>
    </w:p>
    <w:p w14:paraId="49114550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 毕业设计说明书：每人一篇，含绪论、相关技术、系统设计、算法实现、实验评价、总结等章节，图表均为自行绘制；</w:t>
      </w:r>
    </w:p>
    <w:p w14:paraId="7DBEA373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 实验数据与报告：人脸检测mAP/FPS、重建关键点误差（NME）、年龄变换评价（MiVOLO估计年龄差、ArcFace身份相似度、FG-NET直观对比）、系统端到端延迟与渲染帧率、10—20人主观打分；</w:t>
      </w:r>
    </w:p>
    <w:p w14:paraId="5E58CFB4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 演示视频：3—5分钟系统功能演示视频；</w:t>
      </w:r>
    </w:p>
    <w:p w14:paraId="4035C5F4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 过程文档：开题报告、中期报告、外文资料翻译（每人一篇，与本人分工相关）、数据合规文档（知情同意书、本地处理声明）；</w:t>
      </w:r>
    </w:p>
    <w:p w14:paraId="0493CE05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6. 源代码：完整可运行的源码仓库（含README、环境配置说明）。</w:t>
      </w:r>
    </w:p>
    <w:p w14:paraId="2AC83735">
      <w:pPr>
        <w:spacing w:before="200" w:after="80" w:line="480" w:lineRule="exact"/>
      </w:pPr>
      <w:r>
        <w:rPr>
          <w:rFonts w:ascii="Times New Roman" w:hAnsi="Times New Roman" w:eastAsia="黑体"/>
          <w:b/>
          <w:color w:val="000000"/>
          <w:sz w:val="28"/>
        </w:rPr>
        <w:t>五、设计任务</w:t>
      </w:r>
    </w:p>
    <w:p w14:paraId="5380944B">
      <w:pPr>
        <w:spacing w:before="120" w:after="40" w:line="400" w:lineRule="exact"/>
      </w:pPr>
      <w:r>
        <w:rPr>
          <w:rFonts w:ascii="Times New Roman" w:hAnsi="Times New Roman" w:eastAsia="黑体"/>
          <w:b/>
          <w:color w:val="000000"/>
          <w:sz w:val="24"/>
        </w:rPr>
        <w:t>（一）开发团队与工作量</w:t>
      </w:r>
    </w:p>
    <w:p w14:paraId="1B17F4B7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开发团队：2人。工作量：代码量≥1500行/人（最低要求），项目总代码量≥4500行。</w:t>
      </w:r>
    </w:p>
    <w:p w14:paraId="29A5620A">
      <w:pPr>
        <w:spacing w:before="120" w:after="40" w:line="400" w:lineRule="exact"/>
      </w:pPr>
      <w:r>
        <w:rPr>
          <w:rFonts w:ascii="Times New Roman" w:hAnsi="Times New Roman" w:eastAsia="黑体"/>
          <w:b/>
          <w:color w:val="000000"/>
          <w:sz w:val="24"/>
        </w:rPr>
        <w:t>（二）系统功能性</w:t>
      </w:r>
    </w:p>
    <w:p w14:paraId="49324C54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系统的功能包括：（1）通过摄像头实时检测并跟踪人脸，输出人脸框与关键点；（2）将单张照片或视频帧重建为三维头模，输出形状、表情、姿态与UV纹理；（3）跨年龄三维形变：年龄滑块在20—70岁范围内连续调节，实时驱动morph target，预览不同年龄的三维形象；（4）纹理老化：生成目标年龄的人脸纹理并贴回三维模型；（5）结果导出：导出glTF三维模型与效果图；（6）系统管理：模型加载、参数配置与推理日志。</w:t>
      </w:r>
    </w:p>
    <w:p w14:paraId="622E986F">
      <w:pPr>
        <w:spacing w:before="120" w:after="40" w:line="400" w:lineRule="exact"/>
      </w:pPr>
      <w:r>
        <w:rPr>
          <w:rFonts w:ascii="Times New Roman" w:hAnsi="Times New Roman" w:eastAsia="黑体"/>
          <w:b/>
          <w:color w:val="000000"/>
          <w:sz w:val="24"/>
        </w:rPr>
        <w:t>（三）创新性</w:t>
      </w:r>
    </w:p>
    <w:p w14:paraId="654AC24B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课题的创新性体现在：（1）方法创新：提出用数据统计方法估计三维形变模型空间中的“年龄方向”——用带年龄标签的大规模人脸数据集批量重建获得形状参数，按年龄回归得到年龄变化方向，将三维老化解耦为形状形变（β′＝β＋w(age)·Δβ_age）与纹理老化（SAM生成）两部分并重新组合，该思路与ICME 2024的3D-STD一致，但由本团队自行实现，且直接服务于可交互的Web系统；（2）集成创新：据公开调研，开源社区尚无“YOLO检测—3DMM重建—年龄变换—three.js可视化”完整链路的实现，本课题将该链路集成为可演示的完整系统；（3）工程创新：采用“仅传参数、不传网格”的轻量前后端架构，实时流程与离线流程分离，兼顾交互体验与计算成本。</w:t>
      </w:r>
    </w:p>
    <w:p w14:paraId="41C96797">
      <w:pPr>
        <w:spacing w:before="120" w:after="40" w:line="400" w:lineRule="exact"/>
      </w:pPr>
      <w:r>
        <w:rPr>
          <w:rFonts w:ascii="Times New Roman" w:hAnsi="Times New Roman" w:eastAsia="黑体"/>
          <w:b/>
          <w:color w:val="000000"/>
          <w:sz w:val="24"/>
        </w:rPr>
        <w:t>（四）实用性</w:t>
      </w:r>
    </w:p>
    <w:p w14:paraId="03FE3D29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在本地完成全部人脸数据处理，不依赖云端服务，规避人脸敏感信息泄露风险，符合《个人信息保护法》与《人脸识别技术应用安全管理办法》的合规要求；浏览器直接运行、无需安装，普通摄像头即可采集，使用门槛低；可应用于个人形象预览、影视角色老化/减龄预演、跨年龄人脸识别教学演示等场景，具有较强的实用性与推广价值。</w:t>
      </w:r>
    </w:p>
    <w:p w14:paraId="7E4C1F15">
      <w:pPr>
        <w:spacing w:before="200" w:after="80" w:line="480" w:lineRule="exact"/>
      </w:pPr>
      <w:r>
        <w:rPr>
          <w:rFonts w:ascii="Times New Roman" w:hAnsi="Times New Roman" w:eastAsia="黑体"/>
          <w:b/>
          <w:color w:val="000000"/>
          <w:sz w:val="28"/>
        </w:rPr>
        <w:t>六、主要设计内容与要求</w:t>
      </w:r>
    </w:p>
    <w:p w14:paraId="4A7B46ED">
      <w:pPr>
        <w:spacing w:before="120" w:after="40" w:line="400" w:lineRule="exact"/>
      </w:pPr>
      <w:r>
        <w:rPr>
          <w:rFonts w:ascii="Times New Roman" w:hAnsi="Times New Roman" w:eastAsia="黑体"/>
          <w:b/>
          <w:color w:val="000000"/>
          <w:sz w:val="24"/>
        </w:rPr>
        <w:t>（一）团队任务</w:t>
      </w:r>
    </w:p>
    <w:p w14:paraId="67A6BB4F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 系统设计：系统总体架构、前后端接口与数据流设计；</w:t>
      </w:r>
    </w:p>
    <w:p w14:paraId="4170A83C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 算法实现：人脸检测（YOLO）、三维重建（3DMM）、年龄变换（年龄方向＋SAM纹理）三类核心算法与模型实现；</w:t>
      </w:r>
    </w:p>
    <w:p w14:paraId="448F71CD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 数据获取：整理WIDER FACE、AFLW2000-3D、UTKFace、FFHQ-Aging等数据集，按学校规定与知情同意原则采集合成测试用照片；</w:t>
      </w:r>
    </w:p>
    <w:p w14:paraId="4B6A7704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 编程实现：Python实现算法与后端服务，JavaScript/three.js实现前端可视化；</w:t>
      </w:r>
    </w:p>
    <w:p w14:paraId="1E382CCD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 UI设计：友好方便的用户界面，包含摄像头调用、拍照、年龄滑块、模型导出等；</w:t>
      </w:r>
    </w:p>
    <w:p w14:paraId="4DEA0B51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6. 系统测试：设计测试用例，完成功能测试、性能测试（延迟/帧率）与兼容性测试；</w:t>
      </w:r>
    </w:p>
    <w:p w14:paraId="301479E9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7. 开发文档：需求调研、概要设计、详细设计、测试用例等。</w:t>
      </w:r>
    </w:p>
    <w:p w14:paraId="6A66BAD4">
      <w:pPr>
        <w:spacing w:before="120" w:after="40" w:line="400" w:lineRule="exact"/>
      </w:pPr>
      <w:r>
        <w:rPr>
          <w:rFonts w:ascii="Times New Roman" w:hAnsi="Times New Roman" w:eastAsia="黑体"/>
          <w:b/>
          <w:color w:val="000000"/>
          <w:sz w:val="24"/>
        </w:rPr>
        <w:t>（二）个人任务</w:t>
      </w:r>
    </w:p>
    <w:p w14:paraId="5462275D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组长（学生A）：</w:t>
      </w:r>
    </w:p>
    <w:p w14:paraId="3E39D3BB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 YOLO26n-face人脸检测模块：集成与WIDER FACE微调，完成mAP/FPS评测；</w:t>
      </w:r>
    </w:p>
    <w:p w14:paraId="550FD8FC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 三维重建模块：3DDFA_V2/MICA集成与推理优化，完成AFLW2000-3D关键点误差（NME）评测；</w:t>
      </w:r>
    </w:p>
    <w:p w14:paraId="6BB8BADE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 年龄方向估计：BFM年龄方向换算为顶点位移；基于UTKFace/FFHQ-Aging回归FLAME空间年龄方向；</w:t>
      </w:r>
    </w:p>
    <w:p w14:paraId="4EBDAE2C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 SAM纹理老化模块：目标年龄纹理生成与UV展开贴回；</w:t>
      </w:r>
    </w:p>
    <w:p w14:paraId="25065FDE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 算法实验与评价：MiVOLO年龄差、ArcFace身份相似度、FG-NET对比实验；</w:t>
      </w:r>
    </w:p>
    <w:p w14:paraId="3375AB97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6. 论文算法章节（三维重建、年龄变换、实验评价）撰写。</w:t>
      </w:r>
    </w:p>
    <w:p w14:paraId="2CE358A5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组员（学生B）：</w:t>
      </w:r>
    </w:p>
    <w:p w14:paraId="46E88CE2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 毕设课题的经济效益与社会贡献分析，与法律、法规、健康、安全、环境等因素的关联分析，技术选型对比分析；</w:t>
      </w:r>
    </w:p>
    <w:p w14:paraId="6F924E23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 three.js三维可视化：模板网格与形状基加载、morph target年龄滑块、纹理映射与光照；</w:t>
      </w:r>
    </w:p>
    <w:p w14:paraId="325C6A3B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 前端UI与交互：摄像头调用、拍照流程、年龄调节、导出功能；</w:t>
      </w:r>
    </w:p>
    <w:p w14:paraId="6729E1C3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 后端服务：FastAPI＋WebSocket、ONNX推理加速、glTF导出接口；</w:t>
      </w:r>
    </w:p>
    <w:p w14:paraId="5F0CCE32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 系统集成测试：端到端延迟、渲染帧率、浏览器兼容性测试与优化；</w:t>
      </w:r>
    </w:p>
    <w:p w14:paraId="7A304057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6. 论文系统章节（需求分析、系统设计、前端实现）撰写与演示视频录制。</w:t>
      </w:r>
    </w:p>
    <w:p w14:paraId="0BC62B3F">
      <w:pPr>
        <w:spacing w:before="120" w:after="40" w:line="400" w:lineRule="exact"/>
      </w:pPr>
      <w:r>
        <w:rPr>
          <w:rFonts w:ascii="Times New Roman" w:hAnsi="Times New Roman" w:eastAsia="黑体"/>
          <w:b/>
          <w:color w:val="000000"/>
          <w:sz w:val="24"/>
        </w:rPr>
        <w:t>（三）本设计中的“复杂工程问题”</w:t>
      </w:r>
    </w:p>
    <w:p w14:paraId="3C167A8C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按照《工程教育专业认证标准》，复杂工程问题必须具备下述特征（1）；同时，具备下述特征（2）—（7）的部分或全部。本设计具备其中的特征（1）（2）（3）（4）：</w:t>
      </w:r>
    </w:p>
    <w:p w14:paraId="76C25EA7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具备特征（1）：为实现三维重建，需深入理解三维形变模型的形状基、表情基的数学构造与回归网络的原理；为实现年龄变换，需理解“年龄方向”的统计假设与线性组合的合理性；上述内容均需经过分析才能正确运用。</w:t>
      </w:r>
    </w:p>
    <w:p w14:paraId="2D61EFF4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具备特征（2）：本系统涉及人脸检测、三维重建、年龄变换、Web三维渲染、前后端实时通信等多方面技术，需要综合运用并协调彼此之间的约束。</w:t>
      </w:r>
    </w:p>
    <w:p w14:paraId="36C5352D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具备特征（3）：本设计将“人的老化”抽象为形变模型参数空间中的方向向量（Δβ_age）与纹理空间的变换，通过建立该抽象模型才能实现连续、可交互的年龄调节。</w:t>
      </w:r>
    </w:p>
    <w:p w14:paraId="13A41F05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具备特征（4）：三维人脸老化目前没有成熟的现成代码可直接使用，需要在理解原理的基础上自行实现与调优，无法仅依靠常用方法完全解决。</w:t>
      </w:r>
    </w:p>
    <w:p w14:paraId="79241265">
      <w:pPr>
        <w:spacing w:before="120" w:after="40" w:line="400" w:lineRule="exact"/>
      </w:pPr>
      <w:r>
        <w:rPr>
          <w:rFonts w:ascii="Times New Roman" w:hAnsi="Times New Roman" w:eastAsia="黑体"/>
          <w:b/>
          <w:color w:val="000000"/>
          <w:sz w:val="24"/>
        </w:rPr>
        <w:t>（四）设计原则</w:t>
      </w:r>
    </w:p>
    <w:p w14:paraId="1DAA3D29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 独立开发：某些技术或算法可借鉴他人成果，但必须是在理解基础上的借鉴和改进，必须弄懂算法原理、技术手段。否则，视作抄袭，毕业设计成绩不合格。</w:t>
      </w:r>
    </w:p>
    <w:p w14:paraId="0AED4561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 方案修改：与导师商议并取得导师同意后可适度修改，不得擅自删减。</w:t>
      </w:r>
    </w:p>
    <w:p w14:paraId="38BA4397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 开发过程：遵循软件工程相关规定、阶段、步骤，熟悉工程化开发过程。</w:t>
      </w:r>
    </w:p>
    <w:p w14:paraId="0447B631">
      <w:pPr>
        <w:spacing w:before="120" w:after="40" w:line="400" w:lineRule="exact"/>
      </w:pPr>
      <w:r>
        <w:rPr>
          <w:rFonts w:ascii="Times New Roman" w:hAnsi="Times New Roman" w:eastAsia="黑体"/>
          <w:b/>
          <w:color w:val="000000"/>
          <w:sz w:val="24"/>
        </w:rPr>
        <w:t>（五）说明书撰写</w:t>
      </w:r>
    </w:p>
    <w:p w14:paraId="2F23C908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态度严谨，撰写认真，用词简洁准确，无语法、用词、术语、标点符号等错误。</w:t>
      </w:r>
    </w:p>
    <w:p w14:paraId="721C76E8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描述方式恰当，充分阐述设计理念、方案、算法、技术原理等，禁贴源代码代替。</w:t>
      </w:r>
    </w:p>
    <w:p w14:paraId="7514CC60">
      <w:pPr>
        <w:spacing w:before="0" w:after="0" w:line="440" w:lineRule="exact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结构完整、层次清楚、图表美观、符合规定；图表必须绘制，禁止贴图。</w:t>
      </w:r>
    </w:p>
    <w:p w14:paraId="6F55820A">
      <w:pPr>
        <w:spacing w:before="0" w:after="0" w:line="440" w:lineRule="exact"/>
        <w:ind w:firstLine="480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严禁：用而不引、引而不用、伪造数据、抄袭剽窃、买卖论文等学术不端行为。</w:t>
      </w:r>
    </w:p>
    <w:p w14:paraId="5D1AE9B5">
      <w:pPr>
        <w:spacing w:before="0" w:after="0" w:line="440" w:lineRule="exact"/>
        <w:ind w:firstLine="480"/>
        <w:rPr>
          <w:rFonts w:ascii="Times New Roman" w:hAnsi="Times New Roman" w:eastAsia="宋体"/>
          <w:b w:val="0"/>
          <w:color w:val="000000"/>
          <w:sz w:val="24"/>
        </w:rPr>
      </w:pPr>
    </w:p>
    <w:p w14:paraId="3D72668D">
      <w:pPr>
        <w:spacing w:before="0" w:after="0" w:line="440" w:lineRule="exact"/>
        <w:ind w:firstLine="480"/>
        <w:rPr>
          <w:rFonts w:ascii="Times New Roman" w:hAnsi="Times New Roman" w:eastAsia="宋体"/>
          <w:b w:val="0"/>
          <w:color w:val="000000"/>
          <w:sz w:val="24"/>
        </w:rPr>
      </w:pPr>
    </w:p>
    <w:p w14:paraId="743C5169">
      <w:pPr>
        <w:spacing w:before="200" w:after="80" w:line="480" w:lineRule="exact"/>
      </w:pPr>
      <w:r>
        <w:rPr>
          <w:rFonts w:ascii="Times New Roman" w:hAnsi="Times New Roman" w:eastAsia="黑体"/>
          <w:b/>
          <w:color w:val="000000"/>
          <w:sz w:val="28"/>
        </w:rPr>
        <w:t>七、详细进度安排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1621"/>
        <w:gridCol w:w="3645"/>
        <w:gridCol w:w="1413"/>
      </w:tblGrid>
      <w:tr w14:paraId="112DF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54232B96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阶段</w:t>
            </w:r>
          </w:p>
        </w:tc>
        <w:tc>
          <w:tcPr>
            <w:tcW w:w="1644" w:type="dxa"/>
            <w:shd w:val="clear" w:color="auto" w:fill="D9D9D9"/>
            <w:vAlign w:val="center"/>
          </w:tcPr>
          <w:p w14:paraId="625BD5E3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起</w:t>
            </w:r>
            <w:bookmarkStart w:id="0" w:name="_GoBack"/>
            <w:bookmarkEnd w:id="0"/>
            <w:r>
              <w:rPr>
                <w:rFonts w:hint="eastAsia" w:ascii="Times New Roman" w:hAnsi="Times New Roman" w:eastAsia="黑体"/>
                <w:b/>
                <w:color w:val="000000"/>
                <w:sz w:val="21"/>
                <w:lang w:val="en-US" w:eastAsia="zh-CN"/>
              </w:rPr>
              <w:t>止</w:t>
            </w: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时间</w:t>
            </w:r>
          </w:p>
        </w:tc>
        <w:tc>
          <w:tcPr>
            <w:tcW w:w="3742" w:type="dxa"/>
            <w:shd w:val="clear" w:color="auto" w:fill="D9D9D9"/>
            <w:vAlign w:val="center"/>
          </w:tcPr>
          <w:p w14:paraId="0CBA8505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主要工作内容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3A96104B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负责人</w:t>
            </w:r>
          </w:p>
        </w:tc>
      </w:tr>
      <w:tr w14:paraId="3EAB5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611C2867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第一阶段</w:t>
            </w:r>
          </w:p>
          <w:p w14:paraId="33D55C8F">
            <w:pPr>
              <w:spacing w:before="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调研与开题</w:t>
            </w:r>
          </w:p>
          <w:p w14:paraId="3F8E8D9A">
            <w:pPr>
              <w:spacing w:before="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（第1—11周）</w:t>
            </w:r>
          </w:p>
        </w:tc>
        <w:tc>
          <w:tcPr>
            <w:tcW w:w="1644" w:type="dxa"/>
            <w:vAlign w:val="center"/>
          </w:tcPr>
          <w:p w14:paraId="1690E870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2026.11.16</w:t>
            </w:r>
          </w:p>
          <w:p w14:paraId="1CCF28EA">
            <w:pPr>
              <w:spacing w:before="0" w:after="4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—2027.01.31</w:t>
            </w:r>
          </w:p>
        </w:tc>
        <w:tc>
          <w:tcPr>
            <w:tcW w:w="3742" w:type="dxa"/>
            <w:vAlign w:val="center"/>
          </w:tcPr>
          <w:p w14:paraId="7E154325">
            <w:pPr>
              <w:spacing w:before="40" w:after="40" w:line="30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①文献调研：三维形变模型、单目三维人脸重建、人脸年龄变换、Web三维可视化；②确定技术路线，完成可行性分析，撰写开题报告；③提交FLAME官网注册与BFM 2009下载申请；④搭建WSL2＋PyTorch 2.7＋CUDA 12.8环境，跑通3DDFA_V2摄像头演示；⑤完成系统总体架构设计与前后端接口约定。</w:t>
            </w:r>
          </w:p>
        </w:tc>
        <w:tc>
          <w:tcPr>
            <w:tcW w:w="1474" w:type="dxa"/>
            <w:vAlign w:val="center"/>
          </w:tcPr>
          <w:p w14:paraId="4CE1AEB3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二人共同</w:t>
            </w:r>
          </w:p>
          <w:p w14:paraId="34AF457E">
            <w:pPr>
              <w:spacing w:before="0" w:after="4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（A主导算法预研，B主导可视化预研）</w:t>
            </w:r>
          </w:p>
        </w:tc>
      </w:tr>
      <w:tr w14:paraId="78631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32519B9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第二阶段</w:t>
            </w:r>
          </w:p>
          <w:p w14:paraId="4E5A3A9C">
            <w:pPr>
              <w:spacing w:before="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开题与检测基础</w:t>
            </w:r>
          </w:p>
          <w:p w14:paraId="331F164A">
            <w:pPr>
              <w:spacing w:before="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（第12—16周）</w:t>
            </w:r>
          </w:p>
        </w:tc>
        <w:tc>
          <w:tcPr>
            <w:tcW w:w="1644" w:type="dxa"/>
            <w:vAlign w:val="center"/>
          </w:tcPr>
          <w:p w14:paraId="06FF59FA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2027.02.01</w:t>
            </w:r>
          </w:p>
          <w:p w14:paraId="1C210B69">
            <w:pPr>
              <w:spacing w:before="0" w:after="4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—2027.03.07</w:t>
            </w:r>
          </w:p>
        </w:tc>
        <w:tc>
          <w:tcPr>
            <w:tcW w:w="3742" w:type="dxa"/>
            <w:vAlign w:val="center"/>
          </w:tcPr>
          <w:p w14:paraId="714BEE22">
            <w:pPr>
              <w:spacing w:before="40" w:after="40" w:line="30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①提交开题报告并参加开题答辩（2027.02.20—03.01）；②集成YOLO26n-face，在WIDER FACE上微调并评测mAP/FPS；③跑通3DDFA_V2/MICA重建，在AFLW2000-3D上测试NME；④three.js端复现官方morph target示例，完成模板网格与形状基加载。</w:t>
            </w:r>
          </w:p>
        </w:tc>
        <w:tc>
          <w:tcPr>
            <w:tcW w:w="1474" w:type="dxa"/>
            <w:vAlign w:val="center"/>
          </w:tcPr>
          <w:p w14:paraId="28694EA9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A：检测与重建</w:t>
            </w:r>
          </w:p>
          <w:p w14:paraId="70C242C1">
            <w:pPr>
              <w:spacing w:before="0" w:after="4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B：三维渲染</w:t>
            </w:r>
          </w:p>
        </w:tc>
      </w:tr>
      <w:tr w14:paraId="73EDF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6CF6EF97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第三阶段</w:t>
            </w:r>
          </w:p>
          <w:p w14:paraId="52635F53">
            <w:pPr>
              <w:spacing w:before="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年龄变换与可视化</w:t>
            </w:r>
          </w:p>
          <w:p w14:paraId="57BC6D1D">
            <w:pPr>
              <w:spacing w:before="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（第17—22周）</w:t>
            </w:r>
          </w:p>
        </w:tc>
        <w:tc>
          <w:tcPr>
            <w:tcW w:w="1644" w:type="dxa"/>
            <w:vAlign w:val="center"/>
          </w:tcPr>
          <w:p w14:paraId="5F9AA6B2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2027.03.08</w:t>
            </w:r>
          </w:p>
          <w:p w14:paraId="3730F985">
            <w:pPr>
              <w:spacing w:before="0" w:after="4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—2027.04.18</w:t>
            </w:r>
          </w:p>
        </w:tc>
        <w:tc>
          <w:tcPr>
            <w:tcW w:w="3742" w:type="dxa"/>
            <w:vAlign w:val="center"/>
          </w:tcPr>
          <w:p w14:paraId="00C7A9A9">
            <w:pPr>
              <w:spacing w:before="40" w:after="40" w:line="30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①BFM年龄方向换算为逐顶点位移并导出morph target，实现年龄滑块原型（20—70岁）；②基于UTKFace/FFHQ-Aging批量重建，回归估计FLAME空间年龄方向；③接入SAM生成目标年龄纹理并UV展开贴回；④完成中期报告（2027.04.15—04.20）。</w:t>
            </w:r>
          </w:p>
        </w:tc>
        <w:tc>
          <w:tcPr>
            <w:tcW w:w="1474" w:type="dxa"/>
            <w:vAlign w:val="center"/>
          </w:tcPr>
          <w:p w14:paraId="2040B3DB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A：年龄方向与纹理</w:t>
            </w:r>
          </w:p>
          <w:p w14:paraId="431D13C8">
            <w:pPr>
              <w:spacing w:before="0" w:after="4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B：滑块与渲染</w:t>
            </w:r>
          </w:p>
        </w:tc>
      </w:tr>
      <w:tr w14:paraId="68CEA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207C21AE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第四阶段</w:t>
            </w:r>
          </w:p>
          <w:p w14:paraId="7D9AF50D">
            <w:pPr>
              <w:spacing w:before="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系统集成与测试</w:t>
            </w:r>
          </w:p>
          <w:p w14:paraId="1066AAD0">
            <w:pPr>
              <w:spacing w:before="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（第23—26周）</w:t>
            </w:r>
          </w:p>
        </w:tc>
        <w:tc>
          <w:tcPr>
            <w:tcW w:w="1644" w:type="dxa"/>
            <w:vAlign w:val="center"/>
          </w:tcPr>
          <w:p w14:paraId="079C9C2A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2027.04.19</w:t>
            </w:r>
          </w:p>
          <w:p w14:paraId="1F8CC406">
            <w:pPr>
              <w:spacing w:before="0" w:after="4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—2027.05.16</w:t>
            </w:r>
          </w:p>
        </w:tc>
        <w:tc>
          <w:tcPr>
            <w:tcW w:w="3742" w:type="dxa"/>
            <w:vAlign w:val="center"/>
          </w:tcPr>
          <w:p w14:paraId="1E7A438D">
            <w:pPr>
              <w:spacing w:before="40" w:after="40" w:line="30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①FastAPI＋WebSocket前后端联调（仅传参数，不传网格）；②glTF导出与浏览器端morph target实时计算；③系统集成测试：端到端延迟、渲染帧率、浏览器兼容性；④实验评价：MiVOLO年龄差、ArcFace身份相似度、FG-NET对比、10—20人主观打分；⑤整理数据合规文档（知情同意书、本地处理声明）。</w:t>
            </w:r>
          </w:p>
        </w:tc>
        <w:tc>
          <w:tcPr>
            <w:tcW w:w="1474" w:type="dxa"/>
            <w:vAlign w:val="center"/>
          </w:tcPr>
          <w:p w14:paraId="00F7F984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二人共同</w:t>
            </w:r>
          </w:p>
        </w:tc>
      </w:tr>
      <w:tr w14:paraId="62599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vAlign w:val="center"/>
          </w:tcPr>
          <w:p w14:paraId="67E29FB1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第五阶段</w:t>
            </w:r>
          </w:p>
          <w:p w14:paraId="67BE9135">
            <w:pPr>
              <w:spacing w:before="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论文与答辩</w:t>
            </w:r>
          </w:p>
          <w:p w14:paraId="580E6E26">
            <w:pPr>
              <w:spacing w:before="0" w:after="40" w:line="300" w:lineRule="exact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（第27—30周）</w:t>
            </w:r>
          </w:p>
        </w:tc>
        <w:tc>
          <w:tcPr>
            <w:tcW w:w="1644" w:type="dxa"/>
            <w:vAlign w:val="center"/>
          </w:tcPr>
          <w:p w14:paraId="0BA10694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2027.05.17</w:t>
            </w:r>
          </w:p>
          <w:p w14:paraId="723A3055">
            <w:pPr>
              <w:spacing w:before="0" w:after="4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—2027.06.10</w:t>
            </w:r>
          </w:p>
        </w:tc>
        <w:tc>
          <w:tcPr>
            <w:tcW w:w="3742" w:type="dxa"/>
            <w:vAlign w:val="center"/>
          </w:tcPr>
          <w:p w14:paraId="257EC1C0">
            <w:pPr>
              <w:spacing w:before="40" w:after="40" w:line="300" w:lineRule="exac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①撰写毕业设计说明书（各自负责本人模块章节，共同撰写绪论与总结）；②完成外文资料翻译；③录制系统演示视频；④查重与修改；⑤指导教师评阅（2027.05.20—06.02）；⑥参加答辩。</w:t>
            </w:r>
          </w:p>
        </w:tc>
        <w:tc>
          <w:tcPr>
            <w:tcW w:w="1474" w:type="dxa"/>
            <w:vAlign w:val="center"/>
          </w:tcPr>
          <w:p w14:paraId="606FCE27">
            <w:pPr>
              <w:spacing w:before="40" w:after="40" w:line="30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二人共同</w:t>
            </w:r>
          </w:p>
        </w:tc>
      </w:tr>
    </w:tbl>
    <w:p w14:paraId="3552FC67">
      <w:pPr>
        <w:spacing w:before="120" w:after="0" w:line="360" w:lineRule="exact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风险应对：若主线方案（MICA＋FLAME全头模型）因模型许可或环境问题受阻，及时切换至保底方案（3DDFA_V2＋BFM），确保系统按期完成；儿童头型不在模型表达范围内，主体适用范围限定为20—70岁，儿童相关内容列入论文“局限与展望”。</w:t>
      </w:r>
    </w:p>
    <w:p w14:paraId="147DF8BE">
      <w:pPr>
        <w:spacing w:before="200" w:after="80" w:line="480" w:lineRule="exact"/>
      </w:pPr>
      <w:r>
        <w:rPr>
          <w:rFonts w:ascii="Times New Roman" w:hAnsi="Times New Roman" w:eastAsia="黑体"/>
          <w:b/>
          <w:color w:val="000000"/>
          <w:sz w:val="28"/>
        </w:rPr>
        <w:t>八、推荐主要参考文献和资料</w:t>
      </w:r>
    </w:p>
    <w:p w14:paraId="4CEFF42D">
      <w:pPr>
        <w:spacing w:before="0" w:after="40" w:line="360" w:lineRule="exact"/>
      </w:pPr>
      <w:r>
        <w:rPr>
          <w:rFonts w:ascii="Times New Roman" w:hAnsi="Times New Roman" w:eastAsia="宋体"/>
          <w:b w:val="0"/>
          <w:color w:val="000000"/>
          <w:sz w:val="21"/>
        </w:rPr>
        <w:t>[1] Blanz V., Vetter T. A morphable model for the synthesis of 3D faces[C]//Proceedings of SIGGRAPH 1999. Los Angeles: ACM, 1999.</w:t>
      </w:r>
    </w:p>
    <w:p w14:paraId="21D9431C">
      <w:pPr>
        <w:spacing w:before="0" w:after="40" w:line="360" w:lineRule="exact"/>
      </w:pPr>
      <w:r>
        <w:rPr>
          <w:rFonts w:ascii="Times New Roman" w:hAnsi="Times New Roman" w:eastAsia="宋体"/>
          <w:b w:val="0"/>
          <w:color w:val="000000"/>
          <w:sz w:val="21"/>
        </w:rPr>
        <w:t>[2] Li T., Bolkart T., Black M J, et al. Learning a model of facial shape and expression from 4D scans[J]. ACM Transactions on Graphics, 2017, 36(6).</w:t>
      </w:r>
    </w:p>
    <w:p w14:paraId="64453359">
      <w:pPr>
        <w:spacing w:before="0" w:after="40" w:line="360" w:lineRule="exact"/>
      </w:pPr>
      <w:r>
        <w:rPr>
          <w:rFonts w:ascii="Times New Roman" w:hAnsi="Times New Roman" w:eastAsia="宋体"/>
          <w:b w:val="0"/>
          <w:color w:val="000000"/>
          <w:sz w:val="21"/>
        </w:rPr>
        <w:t>[3] Paysan P., Knothe R., Amberg B., et al. A 3D face model for pose and illumination invariant face recognition[C]//Proceedings of AVSS 2009. Genoa: IEEE, 2009.</w:t>
      </w:r>
    </w:p>
    <w:p w14:paraId="3DBC6CE8">
      <w:pPr>
        <w:spacing w:before="0" w:after="40" w:line="360" w:lineRule="exact"/>
      </w:pPr>
      <w:r>
        <w:rPr>
          <w:rFonts w:ascii="Times New Roman" w:hAnsi="Times New Roman" w:eastAsia="宋体"/>
          <w:b w:val="0"/>
          <w:color w:val="000000"/>
          <w:sz w:val="21"/>
        </w:rPr>
        <w:t>[4] Egger B., Smith W A P, Tewari A., et al. 3D morphable face models—past, present and future[J]. ACM Transactions on Graphics, 2020, 39(6).</w:t>
      </w:r>
    </w:p>
    <w:p w14:paraId="7670E097">
      <w:pPr>
        <w:spacing w:before="0" w:after="40" w:line="360" w:lineRule="exact"/>
      </w:pPr>
      <w:r>
        <w:rPr>
          <w:rFonts w:ascii="Times New Roman" w:hAnsi="Times New Roman" w:eastAsia="宋体"/>
          <w:b w:val="0"/>
          <w:color w:val="000000"/>
          <w:sz w:val="21"/>
        </w:rPr>
        <w:t>[5] Guo J., et al. Towards fast, accurate and stable 3D dense face alignment[C]//Proceedings of ECCV 2020. Glasgow: Springer, 2020.</w:t>
      </w:r>
    </w:p>
    <w:p w14:paraId="0EABB2A2">
      <w:pPr>
        <w:spacing w:before="0" w:after="40" w:line="360" w:lineRule="exact"/>
      </w:pPr>
      <w:r>
        <w:rPr>
          <w:rFonts w:ascii="Times New Roman" w:hAnsi="Times New Roman" w:eastAsia="宋体"/>
          <w:b w:val="0"/>
          <w:color w:val="000000"/>
          <w:sz w:val="21"/>
        </w:rPr>
        <w:t>[6] Zielonka M., et al. Towards metrical reconstruction of human faces[C]//Proceedings of ECCV 2022. Tel Aviv: Springer, 2022.</w:t>
      </w:r>
    </w:p>
    <w:p w14:paraId="728FD693">
      <w:pPr>
        <w:spacing w:before="0" w:after="40" w:line="360" w:lineRule="exact"/>
      </w:pPr>
      <w:r>
        <w:rPr>
          <w:rFonts w:ascii="Times New Roman" w:hAnsi="Times New Roman" w:eastAsia="宋体"/>
          <w:b w:val="0"/>
          <w:color w:val="000000"/>
          <w:sz w:val="21"/>
        </w:rPr>
        <w:t>[7] Qi D., et al. YOLO5Face: why reinventing a face detector[C]//Proceedings of ECCV Workshops 2022. Tel Aviv: Springer, 2022.</w:t>
      </w:r>
    </w:p>
    <w:p w14:paraId="5683B845">
      <w:pPr>
        <w:spacing w:before="0" w:after="40" w:line="360" w:lineRule="exact"/>
      </w:pPr>
      <w:r>
        <w:rPr>
          <w:rFonts w:ascii="Times New Roman" w:hAnsi="Times New Roman" w:eastAsia="宋体"/>
          <w:b w:val="0"/>
          <w:color w:val="000000"/>
          <w:sz w:val="21"/>
        </w:rPr>
        <w:t>[8] Alaluf Y., Patashnik O., et al. Only a matter of style: age transformation using a style-based regression model[J]. ACM Transactions on Graphics, 2021, 40(4).</w:t>
      </w:r>
    </w:p>
    <w:p w14:paraId="437FDB23">
      <w:pPr>
        <w:spacing w:before="0" w:after="40" w:line="360" w:lineRule="exact"/>
      </w:pPr>
      <w:r>
        <w:rPr>
          <w:rFonts w:ascii="Times New Roman" w:hAnsi="Times New Roman" w:eastAsia="宋体"/>
          <w:b w:val="0"/>
          <w:color w:val="000000"/>
          <w:sz w:val="21"/>
        </w:rPr>
        <w:t>[9] Teng Y., et al. Exploring 3D-aware lifespan face aging via disentangled shape-texture representations[C]//Proceedings of ICME 2024. IEEE, 2024.</w:t>
      </w:r>
    </w:p>
    <w:p w14:paraId="05499DB8">
      <w:pPr>
        <w:spacing w:before="0" w:after="40" w:line="360" w:lineRule="exact"/>
      </w:pPr>
      <w:r>
        <w:rPr>
          <w:rFonts w:ascii="Times New Roman" w:hAnsi="Times New Roman" w:eastAsia="宋体"/>
          <w:b w:val="0"/>
          <w:color w:val="000000"/>
          <w:sz w:val="21"/>
        </w:rPr>
        <w:t>[10] Kuprashevich M., Krasheninnikov D. MiVOLO: multi-input transformer for age and gender estimation[C]//Proceedings of ICMV 2023. 2023.</w:t>
      </w:r>
    </w:p>
    <w:p w14:paraId="38010C8A">
      <w:pPr>
        <w:spacing w:before="0" w:after="40" w:line="360" w:lineRule="exact"/>
      </w:pPr>
      <w:r>
        <w:rPr>
          <w:rFonts w:ascii="Times New Roman" w:hAnsi="Times New Roman" w:eastAsia="宋体"/>
          <w:b w:val="0"/>
          <w:color w:val="000000"/>
          <w:sz w:val="21"/>
        </w:rPr>
        <w:t>[11] 刘菲, 张堃博, 杨青, 等. 三维人脸成像及重建技术综述[J]. 中国图象图形学报, 2024, 29(9): 2441-2470.</w:t>
      </w:r>
    </w:p>
    <w:p w14:paraId="565EE98E">
      <w:pPr>
        <w:spacing w:before="0" w:after="40" w:line="360" w:lineRule="exact"/>
      </w:pPr>
      <w:r>
        <w:rPr>
          <w:rFonts w:ascii="Times New Roman" w:hAnsi="Times New Roman" w:eastAsia="宋体"/>
          <w:b w:val="0"/>
          <w:color w:val="000000"/>
          <w:sz w:val="21"/>
        </w:rPr>
        <w:t>[12] 张珂, 于婷婷, 石超君, 等. 融合通道位置注意力机制和并行空洞卷积的人脸年龄合成[J]. 中国图象图形学报, 2023, 28(12): 3870-3883.</w:t>
      </w:r>
    </w:p>
    <w:sectPr>
      <w:pgSz w:w="11906" w:h="16838"/>
      <w:pgMar w:top="1440" w:right="1797" w:bottom="1440" w:left="179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5C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5617</Words>
  <Characters>6964</Characters>
  <Lines>0</Lines>
  <Paragraphs>0</Paragraphs>
  <TotalTime>1</TotalTime>
  <ScaleCrop>false</ScaleCrop>
  <LinksUpToDate>false</LinksUpToDate>
  <CharactersWithSpaces>7094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Moriarty</cp:lastModifiedBy>
  <dcterms:modified xsi:type="dcterms:W3CDTF">2026-10-15T06:09:36Z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eyJoZGlkIjoiZTA2MTAzZWFkYzdkZjIxNzkxZjY0ZGQ4MzdjMzZjNjciLCJ1c2VySWQiOiIxMjQyNTAzNjQ0In0=</vt:lpwstr>
  </property>
  <property fmtid="{D5CDD505-2E9C-101B-9397-08002B2CF9AE}" pid="3" name="KSOProductBuildVer">
    <vt:lpwstr>2052-12.1.0.28505</vt:lpwstr>
  </property>
  <property fmtid="{D5CDD505-2E9C-101B-9397-08002B2CF9AE}" pid="4" name="ICV">
    <vt:lpwstr>A28CE055ECD34EF2B6D53B4170BE6683_12</vt:lpwstr>
  </property>
</Properties>
</file>