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Arial Narrow" w:hAnsi="Arial Narrow" w:eastAsia="黑体"/>
          <w:b/>
          <w:sz w:val="44"/>
          <w:szCs w:val="44"/>
        </w:rPr>
      </w:pPr>
      <w:r>
        <w:rPr>
          <w:rFonts w:ascii="Arial Narrow" w:hAnsi="Arial Narrow" w:eastAsia="黑体"/>
          <w:b/>
          <w:sz w:val="44"/>
          <w:szCs w:val="44"/>
          <w:u w:val="single"/>
        </w:rPr>
        <w:t>2019</w:t>
      </w:r>
      <w:r>
        <w:rPr>
          <w:rFonts w:ascii="Arial Narrow" w:hAnsi="Arial Narrow" w:eastAsia="黑体"/>
          <w:b/>
          <w:sz w:val="44"/>
          <w:szCs w:val="44"/>
        </w:rPr>
        <w:t>年全国职业院校技能大赛</w:t>
      </w:r>
    </w:p>
    <w:p>
      <w:pPr>
        <w:widowControl/>
        <w:jc w:val="center"/>
        <w:rPr>
          <w:rFonts w:ascii="Arial Narrow" w:hAnsi="Arial Narrow" w:eastAsia="黑体"/>
          <w:b/>
          <w:sz w:val="44"/>
          <w:szCs w:val="44"/>
        </w:rPr>
      </w:pPr>
      <w:r>
        <w:rPr>
          <w:rFonts w:ascii="Arial Narrow" w:hAnsi="Arial Narrow" w:eastAsia="黑体"/>
          <w:b/>
          <w:sz w:val="44"/>
          <w:szCs w:val="44"/>
        </w:rPr>
        <w:t>高职组汽车检测与维修赛项</w:t>
      </w:r>
    </w:p>
    <w:p>
      <w:pPr>
        <w:widowControl/>
        <w:spacing w:before="312" w:beforeLines="100"/>
        <w:jc w:val="center"/>
        <w:rPr>
          <w:rFonts w:ascii="Arial Narrow" w:hAnsi="Arial Narrow" w:eastAsia="黑体"/>
          <w:b/>
          <w:sz w:val="52"/>
          <w:szCs w:val="52"/>
        </w:rPr>
      </w:pPr>
      <w:r>
        <w:rPr>
          <w:rFonts w:ascii="Arial Narrow" w:hAnsi="Arial Narrow" w:eastAsia="黑体"/>
          <w:b/>
          <w:sz w:val="52"/>
          <w:szCs w:val="52"/>
        </w:rPr>
        <w:t>诊断报告</w:t>
      </w:r>
    </w:p>
    <w:p>
      <w:pPr>
        <w:widowControl/>
        <w:jc w:val="left"/>
        <w:rPr>
          <w:rFonts w:ascii="Arial Narrow" w:hAnsi="Arial Narrow"/>
          <w:b/>
          <w:sz w:val="25"/>
          <w:szCs w:val="21"/>
        </w:rPr>
      </w:pPr>
    </w:p>
    <w:p>
      <w:pPr>
        <w:widowControl/>
        <w:jc w:val="lef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分赛项名称：汽车发动机系统检修</w:t>
      </w:r>
    </w:p>
    <w:tbl>
      <w:tblPr>
        <w:tblStyle w:val="2"/>
        <w:tblW w:w="883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546"/>
        <w:gridCol w:w="2435"/>
        <w:gridCol w:w="1241"/>
        <w:gridCol w:w="12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比赛日期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比赛场次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参赛队（签字）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2019年 </w:t>
            </w:r>
            <w:r>
              <w:rPr>
                <w:rFonts w:hint="eastAsia" w:ascii="Arial Narrow" w:hAnsi="Arial Narrow" w:eastAsia="仿宋_GB2312" w:cs="仿宋_GB2312"/>
                <w:b/>
                <w:sz w:val="24"/>
                <w:lang w:val="en-US" w:eastAsia="zh-CN" w:bidi="ar"/>
              </w:rPr>
              <w:t>11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   月   </w:t>
            </w:r>
            <w:r>
              <w:rPr>
                <w:rFonts w:hint="eastAsia" w:ascii="Arial Narrow" w:hAnsi="Arial Narrow" w:eastAsia="仿宋_GB2312" w:cs="仿宋_GB2312"/>
                <w:b/>
                <w:sz w:val="24"/>
                <w:lang w:val="en-US" w:eastAsia="zh-CN" w:bidi="ar"/>
              </w:rPr>
              <w:t>55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  日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第  </w:t>
            </w:r>
            <w:r>
              <w:rPr>
                <w:rFonts w:hint="eastAsia" w:ascii="Arial Narrow" w:hAnsi="Arial Narrow" w:eastAsia="仿宋_GB2312" w:cs="仿宋_GB2312"/>
                <w:b/>
                <w:sz w:val="24"/>
                <w:lang w:val="en-US" w:eastAsia="zh-CN" w:bidi="ar"/>
              </w:rPr>
              <w:t>1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 场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比赛用时：    分      秒</w:t>
            </w:r>
          </w:p>
        </w:tc>
        <w:tc>
          <w:tcPr>
            <w:tcW w:w="24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值场裁判（签字）</w:t>
            </w: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故障诊断及知识考核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配分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实际得分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一、起动机不能正常运转，发动机无法起动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30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二、起动机能正常运转，但发动机无法起动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30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三、发动机运行不良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lang w:bidi="ar"/>
              </w:rPr>
              <w:t>1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5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  <w:lang w:bidi="ar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四、发动机理论考核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  <w:lang w:bidi="ar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5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6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合计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lang w:bidi="ar"/>
              </w:rPr>
              <w:t>8</w:t>
            </w: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0</w:t>
            </w:r>
          </w:p>
        </w:tc>
        <w:tc>
          <w:tcPr>
            <w:tcW w:w="1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default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</w:pPr>
            <w:r>
              <w:rPr>
                <w:rFonts w:hint="eastAsia" w:ascii="Arial Narrow" w:hAnsi="Arial Narrow" w:eastAsia="仿宋_GB2312" w:cs="仿宋_GB2312"/>
                <w:b/>
                <w:sz w:val="24"/>
                <w:highlight w:val="green"/>
                <w:lang w:val="en-US" w:eastAsia="zh-CN"/>
              </w:rPr>
              <w:t>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统分裁判（签字）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年  </w:t>
            </w:r>
            <w:r>
              <w:rPr>
                <w:rFonts w:hint="eastAsia" w:ascii="Arial Narrow" w:hAnsi="Arial Narrow" w:eastAsia="仿宋_GB2312" w:cs="仿宋_GB2312"/>
                <w:b/>
                <w:sz w:val="24"/>
                <w:lang w:val="en-US" w:eastAsia="zh-CN" w:bidi="ar"/>
              </w:rPr>
              <w:t>11</w:t>
            </w:r>
            <w:bookmarkStart w:id="0" w:name="_GoBack"/>
            <w:bookmarkEnd w:id="0"/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 xml:space="preserve">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核分裁判（签字）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竞赛监督（签字）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ascii="Arial Narrow" w:hAnsi="Arial Narrow" w:eastAsia="仿宋_GB2312" w:cs="仿宋_GB2312"/>
                <w:b/>
                <w:sz w:val="24"/>
              </w:rPr>
            </w:pPr>
          </w:p>
        </w:tc>
        <w:tc>
          <w:tcPr>
            <w:tcW w:w="25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line="360" w:lineRule="auto"/>
              <w:ind w:firstLine="422"/>
              <w:jc w:val="right"/>
              <w:rPr>
                <w:rFonts w:ascii="Arial Narrow" w:hAnsi="Arial Narrow" w:eastAsia="仿宋_GB2312" w:cs="仿宋_GB2312"/>
                <w:b/>
                <w:sz w:val="24"/>
              </w:rPr>
            </w:pPr>
            <w:r>
              <w:rPr>
                <w:rFonts w:ascii="Arial Narrow" w:hAnsi="Arial Narrow" w:eastAsia="仿宋_GB2312" w:cs="仿宋_GB2312"/>
                <w:b/>
                <w:sz w:val="24"/>
                <w:lang w:bidi="ar"/>
              </w:rPr>
              <w:t>年    月    日</w:t>
            </w:r>
          </w:p>
        </w:tc>
      </w:tr>
    </w:tbl>
    <w:p>
      <w:pPr>
        <w:widowControl/>
        <w:jc w:val="left"/>
        <w:rPr>
          <w:rFonts w:ascii="Arial Narrow" w:hAnsi="Arial Narrow"/>
          <w:b/>
          <w:sz w:val="25"/>
          <w:szCs w:val="21"/>
        </w:rPr>
      </w:pPr>
    </w:p>
    <w:p>
      <w:pPr>
        <w:spacing w:line="560" w:lineRule="exact"/>
        <w:ind w:firstLine="562" w:firstLineChars="200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任务一  有主流车型B8客户抱怨，其车辆无法起动，服务顾问试车后确认起动机不能运转。请对故障进行维修，并完成诊断报告。</w:t>
      </w:r>
    </w:p>
    <w:p>
      <w:pPr>
        <w:widowControl/>
        <w:ind w:firstLine="560" w:firstLineChars="200"/>
        <w:jc w:val="left"/>
        <w:rPr>
          <w:rFonts w:ascii="Arial Narrow" w:hAnsi="Arial Narrow"/>
          <w:sz w:val="28"/>
          <w:szCs w:val="28"/>
        </w:rPr>
      </w:pPr>
    </w:p>
    <w:p>
      <w:pPr>
        <w:spacing w:line="480" w:lineRule="auto"/>
        <w:ind w:firstLine="560"/>
        <w:jc w:val="left"/>
        <w:rPr>
          <w:rFonts w:ascii="Arial Narrow" w:hAnsi="Arial Narrow"/>
          <w:sz w:val="28"/>
          <w:szCs w:val="28"/>
        </w:rPr>
      </w:pPr>
    </w:p>
    <w:p>
      <w:pPr>
        <w:spacing w:line="560" w:lineRule="exact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（一）故障诊断过程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9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1.实施功能检查，确认故障现象，推断故障范围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（1）描述与客户抱怨相关的检查结果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（2）读取故障码，填写对该故障诊断有用的信息，不用者不填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（3）查阅电路图，绘制控制原理图，不用者不填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2. 根据故障现象、故障码提示结合电路分析判断可能原因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3.根据上述分析及测试结果，进一步明确故障范围，确定测试突破点</w:t>
            </w:r>
          </w:p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</w:tr>
    </w:tbl>
    <w:p>
      <w:pPr>
        <w:jc w:val="left"/>
        <w:rPr>
          <w:rFonts w:hint="eastAsia" w:ascii="Arial Narrow" w:hAnsi="Arial Narrow" w:eastAsia="仿宋_GB2312" w:cs="仿宋_GB2312"/>
          <w:bCs/>
          <w:kern w:val="0"/>
          <w:sz w:val="24"/>
        </w:rPr>
      </w:pPr>
      <w:r>
        <w:rPr>
          <w:rFonts w:hint="eastAsia" w:ascii="Arial Narrow" w:hAnsi="Arial Narrow" w:eastAsia="仿宋_GB2312"/>
          <w:sz w:val="24"/>
        </w:rPr>
        <w:br w:type="page"/>
      </w: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（二）测量记录页</w:t>
      </w:r>
    </w:p>
    <w:tbl>
      <w:tblPr>
        <w:tblStyle w:val="2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36"/>
        <w:gridCol w:w="1777"/>
        <w:gridCol w:w="863"/>
        <w:gridCol w:w="951"/>
        <w:gridCol w:w="1635"/>
        <w:gridCol w:w="194"/>
        <w:gridCol w:w="1913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tblHeader/>
          <w:jc w:val="center"/>
        </w:trPr>
        <w:tc>
          <w:tcPr>
            <w:tcW w:w="8660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1.基于以上诊断结论，实施诊断，确定故障范围</w:t>
            </w:r>
          </w:p>
        </w:tc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测试对象</w:t>
            </w:r>
          </w:p>
        </w:tc>
        <w:tc>
          <w:tcPr>
            <w:tcW w:w="7333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测试条件</w:t>
            </w:r>
          </w:p>
        </w:tc>
        <w:tc>
          <w:tcPr>
            <w:tcW w:w="3591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测试参数</w:t>
            </w:r>
          </w:p>
        </w:tc>
        <w:tc>
          <w:tcPr>
            <w:tcW w:w="1813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标准描述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测试结果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测试结论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913" w:type="dxa"/>
            <w:tcBorders>
              <w:top w:val="dashed" w:color="auto" w:sz="4" w:space="0"/>
              <w:left w:val="dashed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6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2.基于以上诊断结论，实施诊断，确定故障范围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测试对象</w:t>
            </w:r>
          </w:p>
        </w:tc>
        <w:tc>
          <w:tcPr>
            <w:tcW w:w="7333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2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测试条件</w:t>
            </w:r>
          </w:p>
        </w:tc>
        <w:tc>
          <w:tcPr>
            <w:tcW w:w="3591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使用设备</w:t>
            </w:r>
          </w:p>
        </w:tc>
        <w:tc>
          <w:tcPr>
            <w:tcW w:w="210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660" w:type="dxa"/>
            <w:gridSpan w:val="8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测试参数</w:t>
            </w:r>
          </w:p>
        </w:tc>
        <w:tc>
          <w:tcPr>
            <w:tcW w:w="1813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标准描述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测试结果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91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  <w:r>
              <w:rPr>
                <w:rFonts w:hint="eastAsia" w:ascii="Arial Narrow" w:hAnsi="Arial Narrow" w:eastAsia="仿宋_GB2312"/>
                <w:sz w:val="24"/>
              </w:rPr>
              <w:t>测试结论</w:t>
            </w:r>
          </w:p>
        </w:tc>
        <w:tc>
          <w:tcPr>
            <w:tcW w:w="1813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Arial Narrow" w:hAnsi="Arial Narrow" w:eastAsia="仿宋_GB2312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9" w:type="dxa"/>
            <w:gridSpan w:val="2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13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660" w:type="dxa"/>
            <w:gridSpan w:val="8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696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967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3" w:type="dxa"/>
            <w:gridSpan w:val="4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696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3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6"/>
        <w:gridCol w:w="1785"/>
        <w:gridCol w:w="771"/>
        <w:gridCol w:w="1050"/>
        <w:gridCol w:w="406"/>
        <w:gridCol w:w="1213"/>
        <w:gridCol w:w="202"/>
        <w:gridCol w:w="1821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3.基于以上诊断结论，实施诊断，确定故障范围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01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1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4.基于以上诊断结论，实施诊断，确定故障范围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7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01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1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2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42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34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92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71" w:tblpY="279"/>
        <w:tblOverlap w:val="never"/>
        <w:tblW w:w="9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9"/>
        <w:gridCol w:w="1952"/>
        <w:gridCol w:w="1312"/>
        <w:gridCol w:w="680"/>
        <w:gridCol w:w="513"/>
        <w:gridCol w:w="1258"/>
        <w:gridCol w:w="221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5.基于以上诊断结论，实施诊断，确定故障范围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170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6.基于以上诊断结论，实施诊断，确定故障范围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1242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</w:trPr>
        <w:tc>
          <w:tcPr>
            <w:tcW w:w="9170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03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170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506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spacing w:line="560" w:lineRule="exact"/>
        <w:rPr>
          <w:rFonts w:hint="eastAsia" w:ascii="仿宋_GB2312" w:hAnsi="仿宋_GB2312" w:eastAsia="仿宋_GB2312" w:cs="宋体"/>
          <w:b/>
          <w:bCs/>
          <w:sz w:val="28"/>
          <w:szCs w:val="28"/>
        </w:rPr>
      </w:pPr>
      <w:r>
        <w:rPr>
          <w:rFonts w:hint="eastAsia" w:ascii="仿宋_GB2312" w:hAnsi="仿宋_GB2312" w:eastAsia="仿宋_GB2312" w:cs="宋体"/>
          <w:b/>
          <w:bCs/>
          <w:sz w:val="28"/>
          <w:szCs w:val="28"/>
        </w:rPr>
        <w:t>过渡页转下一个故障点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9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60" w:lineRule="auto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.实施功能检查，确认故障现象，推断故障范围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（1）描述与客户抱怨相关的检查结果</w:t>
            </w:r>
          </w:p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napToGrid w:val="0"/>
              <w:spacing w:line="380" w:lineRule="exact"/>
              <w:ind w:left="420" w:hanging="420" w:hangingChars="175"/>
              <w:jc w:val="left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（2）读取故障码，填写对该故障诊断有用的信息，不用者不填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（3）查阅电路图，绘制控制原理图，不用者不填</w:t>
            </w: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2. 根据故障现象、故障码提示结合电路分析判断可能原因</w:t>
            </w:r>
          </w:p>
          <w:p>
            <w:pPr>
              <w:rPr>
                <w:rFonts w:ascii="Arial Narrow" w:hAnsi="Arial Narrow"/>
              </w:rPr>
            </w:pPr>
          </w:p>
          <w:p>
            <w:pPr>
              <w:rPr>
                <w:rFonts w:ascii="Arial Narrow" w:hAnsi="Arial Narrow"/>
              </w:rPr>
            </w:pPr>
          </w:p>
          <w:p>
            <w:pPr>
              <w:rPr>
                <w:rFonts w:ascii="Arial Narrow" w:hAnsi="Arial Narrow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  <w:jc w:val="center"/>
        </w:trPr>
        <w:tc>
          <w:tcPr>
            <w:tcW w:w="82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3.根据上述分析及测试结果，进一步明确故障范围，确定测试突破点</w:t>
            </w:r>
          </w:p>
          <w:p>
            <w:pPr>
              <w:rPr>
                <w:rFonts w:ascii="Arial Narrow" w:hAnsi="Arial Narrow"/>
              </w:rPr>
            </w:pPr>
          </w:p>
        </w:tc>
        <w:tc>
          <w:tcPr>
            <w:tcW w:w="7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ind w:firstLine="560"/>
              <w:rPr>
                <w:rFonts w:ascii="Arial Narrow" w:hAnsi="Arial Narrow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p>
      <w:pPr>
        <w:rPr>
          <w:rFonts w:hint="eastAsia" w:ascii="Arial Narrow" w:hAnsi="Arial Narrow" w:eastAsia="仿宋_GB2312" w:cs="仿宋_GB2312"/>
          <w:bCs/>
          <w:kern w:val="0"/>
          <w:sz w:val="24"/>
        </w:rPr>
      </w:pPr>
    </w:p>
    <w:tbl>
      <w:tblPr>
        <w:tblStyle w:val="2"/>
        <w:tblW w:w="93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36"/>
        <w:gridCol w:w="1785"/>
        <w:gridCol w:w="726"/>
        <w:gridCol w:w="1095"/>
        <w:gridCol w:w="389"/>
        <w:gridCol w:w="1230"/>
        <w:gridCol w:w="202"/>
        <w:gridCol w:w="1821"/>
        <w:gridCol w:w="61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tblHeader/>
          <w:jc w:val="center"/>
        </w:trPr>
        <w:tc>
          <w:tcPr>
            <w:tcW w:w="8650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7.基于以上诊断结论，实施诊断，确定故障范围</w:t>
            </w:r>
          </w:p>
        </w:tc>
        <w:tc>
          <w:tcPr>
            <w:tcW w:w="7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5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89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8.基于以上诊断结论，实施诊断，确定故障范围</w:t>
            </w:r>
          </w:p>
        </w:tc>
        <w:tc>
          <w:tcPr>
            <w:tcW w:w="78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341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5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89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电路参数、尾气排放、数据流或执行元件驱动测试结果；若为波形信号，左侧画正常，右侧画异常</w:t>
            </w: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05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89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80" w:type="dxa"/>
            <w:gridSpan w:val="2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5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8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2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36"/>
        <w:gridCol w:w="1785"/>
        <w:gridCol w:w="726"/>
        <w:gridCol w:w="1095"/>
        <w:gridCol w:w="386"/>
        <w:gridCol w:w="1233"/>
        <w:gridCol w:w="202"/>
        <w:gridCol w:w="1821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9.基于以上诊断结论，实施诊断，确定故障范围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12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10.基于以上诊断结论，实施诊断，确定故障范围</w:t>
            </w:r>
          </w:p>
        </w:tc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24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6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3992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02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8512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28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821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12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  <w:tc>
          <w:tcPr>
            <w:tcW w:w="779" w:type="dxa"/>
            <w:vMerge w:val="continue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775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737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779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/>
        </w:rPr>
      </w:pPr>
    </w:p>
    <w:tbl>
      <w:tblPr>
        <w:tblStyle w:val="2"/>
        <w:tblW w:w="91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39"/>
        <w:gridCol w:w="1952"/>
        <w:gridCol w:w="1312"/>
        <w:gridCol w:w="680"/>
        <w:gridCol w:w="513"/>
        <w:gridCol w:w="1258"/>
        <w:gridCol w:w="221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11.基于以上诊断结论，实施诊断，确定故障范围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15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12.基于以上诊断结论，实施诊断，确定故障范围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测试对象</w:t>
            </w:r>
          </w:p>
        </w:tc>
        <w:tc>
          <w:tcPr>
            <w:tcW w:w="7928" w:type="dxa"/>
            <w:gridSpan w:val="7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122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测试条件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25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使用设备</w:t>
            </w:r>
          </w:p>
        </w:tc>
        <w:tc>
          <w:tcPr>
            <w:tcW w:w="22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tblHeader/>
          <w:jc w:val="center"/>
        </w:trPr>
        <w:tc>
          <w:tcPr>
            <w:tcW w:w="9156" w:type="dxa"/>
            <w:gridSpan w:val="9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电路参数、尾气排放、数据流或执行元件驱动测试结果；若为波形信号，则左侧画正常，右侧画异常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测试参数</w:t>
            </w:r>
          </w:p>
        </w:tc>
        <w:tc>
          <w:tcPr>
            <w:tcW w:w="1991" w:type="dxa"/>
            <w:gridSpan w:val="2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标准描述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测试结果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dashed" w:color="000000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89" w:type="dxa"/>
            <w:tcBorders>
              <w:top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测试结论</w:t>
            </w:r>
          </w:p>
        </w:tc>
        <w:tc>
          <w:tcPr>
            <w:tcW w:w="1991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dashed" w:color="000000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2"/>
            <w:tcBorders>
              <w:top w:val="dashed" w:color="000000" w:sz="4" w:space="0"/>
              <w:left w:val="dashed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gridSpan w:val="3"/>
            <w:tcBorders>
              <w:top w:val="dashed" w:color="000000" w:sz="4" w:space="0"/>
              <w:left w:val="single" w:color="auto" w:sz="4" w:space="0"/>
              <w:bottom w:val="single" w:color="auto" w:sz="4" w:space="0"/>
              <w:right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1992" w:type="dxa"/>
            <w:tcBorders>
              <w:top w:val="dashed" w:color="000000" w:sz="4" w:space="0"/>
              <w:left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156" w:type="dxa"/>
            <w:gridSpan w:val="9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18"/>
                <w:szCs w:val="18"/>
              </w:rPr>
              <w:t>分析测试结果，得出故障可能；必要时简单修复，实施验证；做下一步诊断的思路说明，不用者不填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single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  <w:r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  <w:t>与本页诊断相关的控制原理图，不用者不填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restart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dashed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492" w:type="dxa"/>
            <w:gridSpan w:val="4"/>
            <w:tcBorders>
              <w:top w:val="dashed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  <w:tc>
          <w:tcPr>
            <w:tcW w:w="4664" w:type="dxa"/>
            <w:gridSpan w:val="5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ascii="Arial Narrow" w:hAnsi="Arial Narrow" w:eastAsia="仿宋_GB2312" w:cs="仿宋_GB2312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 w:ascii="Arial Narrow" w:hAnsi="Arial Narrow" w:eastAsia="仿宋_GB2312" w:cs="仿宋_GB2312"/>
          <w:bCs/>
          <w:kern w:val="0"/>
          <w:sz w:val="24"/>
        </w:rPr>
      </w:pPr>
    </w:p>
    <w:p>
      <w:pPr>
        <w:spacing w:line="560" w:lineRule="exact"/>
        <w:ind w:firstLine="560" w:firstLineChars="200"/>
        <w:rPr>
          <w:rFonts w:hint="eastAsia" w:ascii="仿宋_GB2312" w:hAnsi="仿宋_GB2312" w:eastAsia="仿宋_GB2312" w:cs="宋体"/>
          <w:sz w:val="28"/>
          <w:szCs w:val="28"/>
        </w:rPr>
      </w:pPr>
      <w:r>
        <w:rPr>
          <w:rFonts w:hint="eastAsia" w:ascii="仿宋_GB2312" w:hAnsi="仿宋_GB2312" w:eastAsia="仿宋_GB2312" w:cs="宋体"/>
          <w:sz w:val="28"/>
          <w:szCs w:val="28"/>
        </w:rPr>
        <w:t>（三）结论页</w:t>
      </w:r>
    </w:p>
    <w:tbl>
      <w:tblPr>
        <w:tblStyle w:val="2"/>
        <w:tblW w:w="907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2500"/>
        <w:gridCol w:w="2500"/>
        <w:gridCol w:w="2501"/>
        <w:gridCol w:w="82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9071" w:type="dxa"/>
            <w:gridSpan w:val="5"/>
            <w:noWrap w:val="0"/>
            <w:vAlign w:val="center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3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.基于以上测试过程，记录、归纳核心步骤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步骤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测试对象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测试结果</w:t>
            </w:r>
          </w:p>
        </w:tc>
        <w:tc>
          <w:tcPr>
            <w:tcW w:w="2501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测试结论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2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3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4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5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6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7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8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9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10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11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743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12</w:t>
            </w: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0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2501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top"/>
          </w:tcPr>
          <w:p>
            <w:pPr>
              <w:jc w:val="center"/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5" w:hRule="atLeast"/>
          <w:jc w:val="center"/>
        </w:trPr>
        <w:tc>
          <w:tcPr>
            <w:tcW w:w="8244" w:type="dxa"/>
            <w:gridSpan w:val="4"/>
            <w:noWrap w:val="0"/>
            <w:vAlign w:val="top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1</w:t>
            </w:r>
            <w:r>
              <w:rPr>
                <w:rFonts w:hint="eastAsia" w:ascii="Arial Narrow" w:hAnsi="Arial Narrow" w:eastAsia="仿宋_GB2312" w:cs="仿宋_GB2312"/>
                <w:bCs/>
                <w:kern w:val="0"/>
                <w:sz w:val="24"/>
              </w:rPr>
              <w:t>4</w:t>
            </w:r>
            <w:r>
              <w:rPr>
                <w:rFonts w:ascii="Arial Narrow" w:hAnsi="Arial Narrow" w:eastAsia="仿宋_GB2312" w:cs="仿宋_GB2312"/>
                <w:bCs/>
                <w:kern w:val="0"/>
                <w:sz w:val="24"/>
              </w:rPr>
              <w:t>.结合诊断结果，分析故障机理</w:t>
            </w:r>
          </w:p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  <w:tc>
          <w:tcPr>
            <w:tcW w:w="827" w:type="dxa"/>
            <w:noWrap w:val="0"/>
            <w:vAlign w:val="center"/>
          </w:tcPr>
          <w:p>
            <w:pPr>
              <w:rPr>
                <w:rFonts w:ascii="Arial Narrow" w:hAnsi="Arial Narrow" w:eastAsia="仿宋_GB2312" w:cs="仿宋_GB2312"/>
                <w:bCs/>
                <w:kern w:val="0"/>
                <w:sz w:val="24"/>
              </w:rPr>
            </w:pPr>
          </w:p>
        </w:tc>
      </w:tr>
    </w:tbl>
    <w:p>
      <w:pPr>
        <w:jc w:val="left"/>
        <w:rPr>
          <w:rFonts w:ascii="Arial Narrow" w:hAnsi="Arial Narrow" w:eastAsia="仿宋"/>
        </w:rPr>
      </w:pPr>
      <w:r>
        <w:rPr>
          <w:rFonts w:ascii="Arial Narrow" w:hAnsi="Arial Narrow"/>
          <w:color w:val="000000"/>
        </w:rPr>
        <w:br w:type="page"/>
      </w:r>
      <w:r>
        <w:rPr>
          <w:rFonts w:hint="eastAsia" w:ascii="仿宋_GB2312" w:hAnsi="仿宋_GB2312" w:eastAsia="仿宋_GB2312" w:cs="宋体"/>
          <w:sz w:val="28"/>
          <w:szCs w:val="28"/>
        </w:rPr>
        <w:t>（二）理论考核，每题1分，共5分</w:t>
      </w:r>
    </w:p>
    <w:tbl>
      <w:tblPr>
        <w:tblStyle w:val="2"/>
        <w:tblW w:w="9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6" w:hRule="atLeast"/>
          <w:jc w:val="center"/>
        </w:trPr>
        <w:tc>
          <w:tcPr>
            <w:tcW w:w="907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Arial Narrow" w:hAnsi="Arial Narrow"/>
                <w:color w:val="000000"/>
              </w:rPr>
            </w:pPr>
          </w:p>
          <w:p>
            <w:pPr>
              <w:ind w:firstLine="1120"/>
              <w:rPr>
                <w:rFonts w:ascii="Arial Narrow" w:hAnsi="Arial Narrow" w:eastAsia="仿宋"/>
                <w:color w:val="000000"/>
              </w:rPr>
            </w:pPr>
            <w:r>
              <w:rPr>
                <w:rFonts w:ascii="Arial Narrow" w:hAnsi="Arial Narrow"/>
                <w:color w:val="000000"/>
                <w:sz w:val="56"/>
                <w:szCs w:val="40"/>
              </w:rPr>
              <w:t>用B5打印试题，粘贴于此。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A3BE2"/>
    <w:rsid w:val="13665394"/>
    <w:rsid w:val="187A3E13"/>
    <w:rsid w:val="326A3BE2"/>
    <w:rsid w:val="47E07009"/>
    <w:rsid w:val="6221141A"/>
    <w:rsid w:val="79D2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2019-04-28T01:31:00Z</dcterms:created>
  <dc:creator>admin</dc:creator>
  <cp:lastModifiedBy>刘雨顺</cp:lastModifiedBy>
  <dcterms:modified xsi:type="dcterms:W3CDTF">2021-10-21T11:57:27Z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DAF8BCC929E243739F85FE84FF05307F</vt:lpwstr>
  </property>
</Properties>
</file>