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  <w:u w:val="single"/>
        </w:rPr>
        <w:t>2019</w:t>
      </w:r>
      <w:r>
        <w:rPr>
          <w:rFonts w:ascii="Arial Narrow" w:hAnsi="Arial Narrow" w:eastAsia="黑体"/>
          <w:b/>
          <w:sz w:val="44"/>
          <w:szCs w:val="44"/>
        </w:rPr>
        <w:t>年全国职业院校技能大赛</w:t>
      </w:r>
    </w:p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</w:rPr>
        <w:t>高职组汽车检测与维修赛项</w:t>
      </w:r>
    </w:p>
    <w:p>
      <w:pPr>
        <w:widowControl/>
        <w:spacing w:before="312" w:beforeLines="100"/>
        <w:jc w:val="center"/>
        <w:rPr>
          <w:rFonts w:ascii="Arial Narrow" w:hAnsi="Arial Narrow" w:eastAsia="黑体"/>
          <w:b/>
          <w:sz w:val="52"/>
          <w:szCs w:val="52"/>
        </w:rPr>
      </w:pPr>
      <w:r>
        <w:rPr>
          <w:rFonts w:ascii="Arial Narrow" w:hAnsi="Arial Narrow" w:eastAsia="黑体"/>
          <w:b/>
          <w:sz w:val="52"/>
          <w:szCs w:val="52"/>
        </w:rPr>
        <w:t>诊断报告</w:t>
      </w:r>
    </w:p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widowControl/>
        <w:jc w:val="lef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分赛项名称：汽车发动机系统检修</w:t>
      </w:r>
    </w:p>
    <w:tbl>
      <w:tblPr>
        <w:tblStyle w:val="2"/>
        <w:tblW w:w="883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546"/>
        <w:gridCol w:w="2435"/>
        <w:gridCol w:w="1241"/>
        <w:gridCol w:w="12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比赛日期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比赛场次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参赛队（签字）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2019年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 月 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55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日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第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场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比赛用时：    分      秒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值场裁判（签字）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故障诊断及知识考核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配分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实际得分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一、起动机不能正常运转，发动机无法起动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二、起动机能正常运转，但发动机无法起动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三、发动机运行不良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四、发动机理论考核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合计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8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96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统分裁判（签字）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核分裁判（签字）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竞赛监督（签字）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</w:tbl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spacing w:line="560" w:lineRule="exact"/>
        <w:ind w:firstLine="562" w:firstLineChars="200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任务一  有主流车型B8客户抱怨，其车辆无法起动，服务顾问试车后确认起动机不能运转。请对故障进行维修，并完成诊断报告。</w:t>
      </w:r>
    </w:p>
    <w:p>
      <w:pPr>
        <w:widowControl/>
        <w:ind w:firstLine="560" w:firstLineChars="200"/>
        <w:jc w:val="left"/>
        <w:rPr>
          <w:rFonts w:ascii="Arial Narrow" w:hAnsi="Arial Narrow"/>
          <w:sz w:val="28"/>
          <w:szCs w:val="28"/>
        </w:rPr>
      </w:pPr>
    </w:p>
    <w:p>
      <w:pPr>
        <w:spacing w:line="480" w:lineRule="auto"/>
        <w:ind w:firstLine="560"/>
        <w:jc w:val="left"/>
        <w:rPr>
          <w:rFonts w:ascii="Arial Narrow" w:hAnsi="Arial Narrow"/>
          <w:sz w:val="28"/>
          <w:szCs w:val="28"/>
        </w:rPr>
      </w:pPr>
    </w:p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（一）故障诊断过程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（1）描述与客户抱怨相关的检查结果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 根据故障现象、故障码提示结合电路分析判断可能原因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3.根据上述分析及测试结果，进一步明确故障范围，确定测试突破点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</w:tbl>
    <w:p>
      <w:pPr>
        <w:jc w:val="left"/>
        <w:rPr>
          <w:rFonts w:hint="eastAsia" w:ascii="Arial Narrow" w:hAnsi="Arial Narrow" w:eastAsia="仿宋_GB2312" w:cs="仿宋_GB2312"/>
          <w:bCs/>
          <w:kern w:val="0"/>
          <w:sz w:val="24"/>
        </w:rPr>
      </w:pPr>
      <w:r>
        <w:rPr>
          <w:rFonts w:hint="eastAsia" w:ascii="Arial Narrow" w:hAnsi="Arial Narrow" w:eastAsia="仿宋_GB2312"/>
          <w:sz w:val="24"/>
        </w:rPr>
        <w:br w:type="page"/>
      </w: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（二）测量记录页</w:t>
      </w:r>
    </w:p>
    <w:tbl>
      <w:tblPr>
        <w:tblStyle w:val="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6"/>
        <w:gridCol w:w="1777"/>
        <w:gridCol w:w="863"/>
        <w:gridCol w:w="951"/>
        <w:gridCol w:w="1635"/>
        <w:gridCol w:w="194"/>
        <w:gridCol w:w="19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6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1.基于以上诊断结论，实施诊断，确定故障范围</w:t>
            </w:r>
          </w:p>
        </w:tc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2.基于以上诊断结论，实施诊断，确定故障范围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3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"/>
        <w:gridCol w:w="1785"/>
        <w:gridCol w:w="771"/>
        <w:gridCol w:w="1050"/>
        <w:gridCol w:w="406"/>
        <w:gridCol w:w="121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3.基于以上诊断结论，实施诊断，确定故障范围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4.基于以上诊断结论，实施诊断，确定故障范围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71" w:tblpY="279"/>
        <w:tblOverlap w:val="never"/>
        <w:tblW w:w="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5.基于以上诊断结论，实施诊断，确定故障范围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6.基于以上诊断结论，实施诊断，确定故障范围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过渡页转下一个故障点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（1）描述与客户抱怨相关的检查结果</w:t>
            </w:r>
          </w:p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2. 根据故障现象、故障码提示结合电路分析判断可能原因</w:t>
            </w: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3.根据上述分析及测试结果，进一步明确故障范围，确定测试突破点</w:t>
            </w: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tbl>
      <w:tblPr>
        <w:tblStyle w:val="2"/>
        <w:tblW w:w="9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6"/>
        <w:gridCol w:w="1785"/>
        <w:gridCol w:w="726"/>
        <w:gridCol w:w="1095"/>
        <w:gridCol w:w="389"/>
        <w:gridCol w:w="1230"/>
        <w:gridCol w:w="202"/>
        <w:gridCol w:w="1821"/>
        <w:gridCol w:w="6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5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7.基于以上诊断结论，实施诊断，确定故障范围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8.基于以上诊断结论，实施诊断，确定故障范围</w:t>
            </w:r>
          </w:p>
        </w:tc>
        <w:tc>
          <w:tcPr>
            <w:tcW w:w="7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6"/>
        <w:gridCol w:w="1785"/>
        <w:gridCol w:w="726"/>
        <w:gridCol w:w="1095"/>
        <w:gridCol w:w="386"/>
        <w:gridCol w:w="123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9.基于以上诊断结论，实施诊断，确定故障范围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10.基于以上诊断结论，实施诊断，确定故障范围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1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11.基于以上诊断结论，实施诊断，确定故障范围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12.基于以上诊断结论，实施诊断，确定故障范围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p>
      <w:pPr>
        <w:spacing w:line="560" w:lineRule="exact"/>
        <w:ind w:firstLine="560" w:firstLineChars="200"/>
        <w:rPr>
          <w:rFonts w:hint="eastAsia" w:ascii="仿宋_GB2312" w:hAnsi="仿宋_GB2312" w:eastAsia="仿宋_GB2312" w:cs="宋体"/>
          <w:sz w:val="28"/>
          <w:szCs w:val="28"/>
        </w:rPr>
      </w:pPr>
      <w:r>
        <w:rPr>
          <w:rFonts w:hint="eastAsia" w:ascii="仿宋_GB2312" w:hAnsi="仿宋_GB2312" w:eastAsia="仿宋_GB2312" w:cs="宋体"/>
          <w:sz w:val="28"/>
          <w:szCs w:val="28"/>
        </w:rPr>
        <w:t>（三）结论页</w:t>
      </w:r>
    </w:p>
    <w:tbl>
      <w:tblPr>
        <w:tblStyle w:val="2"/>
        <w:tblW w:w="907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500"/>
        <w:gridCol w:w="2500"/>
        <w:gridCol w:w="2501"/>
        <w:gridCol w:w="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9071" w:type="dxa"/>
            <w:gridSpan w:val="5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3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.基于以上测试过程，记录、归纳核心步骤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步骤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测试对象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测试结果</w:t>
            </w:r>
          </w:p>
        </w:tc>
        <w:tc>
          <w:tcPr>
            <w:tcW w:w="2501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测试结论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4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5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6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7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8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9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10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5" w:hRule="atLeast"/>
          <w:jc w:val="center"/>
        </w:trPr>
        <w:tc>
          <w:tcPr>
            <w:tcW w:w="8244" w:type="dxa"/>
            <w:gridSpan w:val="4"/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4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.结合诊断结果，分析故障机理</w:t>
            </w:r>
          </w:p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</w:tbl>
    <w:p>
      <w:pPr>
        <w:jc w:val="left"/>
        <w:rPr>
          <w:rFonts w:ascii="Arial Narrow" w:hAnsi="Arial Narrow" w:eastAsia="仿宋"/>
        </w:rPr>
      </w:pPr>
      <w:r>
        <w:rPr>
          <w:rFonts w:ascii="Arial Narrow" w:hAnsi="Arial Narrow"/>
          <w:color w:val="000000"/>
        </w:rPr>
        <w:br w:type="page"/>
      </w:r>
      <w:r>
        <w:rPr>
          <w:rFonts w:hint="eastAsia" w:ascii="仿宋_GB2312" w:hAnsi="仿宋_GB2312" w:eastAsia="仿宋_GB2312" w:cs="宋体"/>
          <w:sz w:val="28"/>
          <w:szCs w:val="28"/>
        </w:rPr>
        <w:t>（二）理论考核，每题1分，共5分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6" w:hRule="atLeast"/>
          <w:jc w:val="center"/>
        </w:trPr>
        <w:tc>
          <w:tcPr>
            <w:tcW w:w="907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 Narrow" w:hAnsi="Arial Narrow"/>
                <w:color w:val="000000"/>
              </w:rPr>
            </w:pPr>
          </w:p>
          <w:p>
            <w:pPr>
              <w:ind w:firstLine="1120"/>
              <w:rPr>
                <w:rFonts w:ascii="Arial Narrow" w:hAnsi="Arial Narrow" w:eastAsia="仿宋"/>
                <w:color w:val="000000"/>
              </w:rPr>
            </w:pPr>
            <w:r>
              <w:rPr>
                <w:rFonts w:ascii="Arial Narrow" w:hAnsi="Arial Narrow"/>
                <w:color w:val="000000"/>
                <w:sz w:val="56"/>
                <w:szCs w:val="40"/>
              </w:rPr>
              <w:t>用B5打印试题，粘贴于此。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3BE2"/>
    <w:rsid w:val="13665394"/>
    <w:rsid w:val="187A3E13"/>
    <w:rsid w:val="326A3BE2"/>
    <w:rsid w:val="47E0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2019-04-28T01:31:00Z</dcterms:created>
  <dc:creator>admin</dc:creator>
  <cp:lastModifiedBy>刘雨顺</cp:lastModifiedBy>
  <dcterms:modified xsi:type="dcterms:W3CDTF">2021-10-21T11:55:25Z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DAF8BCC929E243739F85FE84FF05307F</vt:lpwstr>
  </property>
</Properties>
</file>