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805717" w14:textId="12B2BC37" w:rsidR="000B21AC" w:rsidRDefault="00000000" w:rsidP="0038200F">
      <w:pPr>
        <w:pStyle w:val="Heading1"/>
        <w:spacing w:after="0" w:line="360" w:lineRule="auto"/>
      </w:pPr>
      <w:r>
        <w:t>M1L11</w:t>
      </w:r>
      <w:r w:rsidR="0038200F">
        <w:t>.</w:t>
      </w:r>
      <w:r>
        <w:t xml:space="preserve"> Prospect </w:t>
      </w:r>
      <w:r w:rsidR="005B242B">
        <w:t>P</w:t>
      </w:r>
      <w:r>
        <w:t>rinciple</w:t>
      </w:r>
    </w:p>
    <w:p w14:paraId="4F1EBA37" w14:textId="77777777" w:rsidR="005B242B" w:rsidRDefault="005B242B" w:rsidP="0038200F">
      <w:pPr>
        <w:pStyle w:val="Script"/>
        <w:spacing w:before="120" w:after="0" w:line="360" w:lineRule="auto"/>
        <w:rPr>
          <w:rFonts w:ascii="Open Sans" w:hAnsi="Open Sans" w:cs="Open Sans"/>
          <w:sz w:val="24"/>
          <w:szCs w:val="24"/>
        </w:rPr>
      </w:pPr>
    </w:p>
    <w:p w14:paraId="2B6C0407" w14:textId="43443DA2" w:rsidR="005B242B" w:rsidRDefault="005B242B" w:rsidP="0038200F">
      <w:pPr>
        <w:pStyle w:val="Heading2"/>
        <w:spacing w:before="120" w:line="360" w:lineRule="auto"/>
      </w:pPr>
      <w:r>
        <w:t>Slide #1</w:t>
      </w:r>
      <w:r>
        <w:rPr>
          <w:noProof/>
        </w:rPr>
        <w:drawing>
          <wp:inline distT="0" distB="0" distL="0" distR="0" wp14:anchorId="7E0EC2A1" wp14:editId="16A55351">
            <wp:extent cx="5731510" cy="3214370"/>
            <wp:effectExtent l="0" t="0" r="2540" b="5080"/>
            <wp:docPr id="367641121" name="Picture 1" descr="Prospect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1121" name="Picture 1" descr="Prospect Principl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4E2CA005" w14:textId="77777777" w:rsidR="005B242B" w:rsidRDefault="005B242B" w:rsidP="0038200F">
      <w:pPr>
        <w:pStyle w:val="Script"/>
        <w:spacing w:before="120" w:after="0" w:line="360" w:lineRule="auto"/>
        <w:rPr>
          <w:rFonts w:ascii="Open Sans" w:hAnsi="Open Sans" w:cs="Open Sans"/>
          <w:sz w:val="24"/>
          <w:szCs w:val="24"/>
        </w:rPr>
      </w:pPr>
    </w:p>
    <w:p w14:paraId="741C4AA9" w14:textId="77777777" w:rsidR="0038200F" w:rsidRDefault="0038200F" w:rsidP="0038200F">
      <w:pPr>
        <w:pStyle w:val="Script"/>
        <w:spacing w:before="120" w:after="0" w:line="360" w:lineRule="auto"/>
        <w:rPr>
          <w:rFonts w:ascii="Open Sans" w:hAnsi="Open Sans" w:cs="Open Sans"/>
          <w:sz w:val="24"/>
          <w:szCs w:val="24"/>
        </w:rPr>
      </w:pPr>
    </w:p>
    <w:p w14:paraId="27DC295C" w14:textId="3BA079F1" w:rsidR="005B242B" w:rsidRDefault="005B242B" w:rsidP="0038200F">
      <w:pPr>
        <w:pStyle w:val="Heading2"/>
        <w:spacing w:before="120" w:line="360" w:lineRule="auto"/>
      </w:pPr>
      <w:r>
        <w:lastRenderedPageBreak/>
        <w:t>Slide #2</w:t>
      </w:r>
      <w:r>
        <w:rPr>
          <w:noProof/>
        </w:rPr>
        <w:drawing>
          <wp:inline distT="0" distB="0" distL="0" distR="0" wp14:anchorId="734A8310" wp14:editId="49211EBF">
            <wp:extent cx="5731510" cy="3220720"/>
            <wp:effectExtent l="0" t="0" r="2540" b="0"/>
            <wp:docPr id="862519068" name="Picture 2" descr="Human decision-making 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9068" name="Picture 2" descr="Human decision-making behavior"/>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202A421" w14:textId="761DD1B9"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The foundation of human decision-making behavior. One of the most important principles in behavioral economics is the Prospect Principle, developed by Daniel Kahneman and Amos Tversky. Daniel received the 2002 Nobel Memorial Prize in Economic Sciences for the work he did in collaboration with Amos Tversky on the behavioral economics six years after Amos</w:t>
      </w:r>
      <w:r w:rsidR="0038200F">
        <w:rPr>
          <w:rFonts w:ascii="Open Sans" w:hAnsi="Open Sans" w:cs="Open Sans"/>
          <w:sz w:val="24"/>
          <w:szCs w:val="24"/>
        </w:rPr>
        <w:t>’</w:t>
      </w:r>
      <w:r w:rsidRPr="005B242B">
        <w:rPr>
          <w:rFonts w:ascii="Open Sans" w:hAnsi="Open Sans" w:cs="Open Sans"/>
          <w:sz w:val="24"/>
          <w:szCs w:val="24"/>
        </w:rPr>
        <w:t xml:space="preserve"> death.</w:t>
      </w:r>
    </w:p>
    <w:p w14:paraId="519C2C1A" w14:textId="77777777" w:rsidR="005B242B" w:rsidRDefault="005B242B" w:rsidP="0038200F">
      <w:pPr>
        <w:pStyle w:val="Script"/>
        <w:spacing w:before="120" w:after="0" w:line="360" w:lineRule="auto"/>
        <w:rPr>
          <w:rFonts w:ascii="Open Sans" w:hAnsi="Open Sans" w:cs="Open Sans"/>
          <w:sz w:val="24"/>
          <w:szCs w:val="24"/>
        </w:rPr>
      </w:pPr>
    </w:p>
    <w:p w14:paraId="224B1E0E" w14:textId="74189F82" w:rsidR="005B242B" w:rsidRDefault="005B242B" w:rsidP="0038200F">
      <w:pPr>
        <w:pStyle w:val="Heading2"/>
        <w:spacing w:before="120" w:line="360" w:lineRule="auto"/>
      </w:pPr>
      <w:r>
        <w:lastRenderedPageBreak/>
        <w:t>Slide #3</w:t>
      </w:r>
      <w:r>
        <w:rPr>
          <w:noProof/>
        </w:rPr>
        <w:drawing>
          <wp:inline distT="0" distB="0" distL="0" distR="0" wp14:anchorId="55B6298F" wp14:editId="02992B5C">
            <wp:extent cx="5731510" cy="3210560"/>
            <wp:effectExtent l="0" t="0" r="2540" b="8890"/>
            <wp:docPr id="1881715957" name="Picture 3" descr="People are generally risk-a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15957" name="Picture 3" descr="People are generally risk-aver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667509C6" w14:textId="350830D3" w:rsid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They concluded that people are risk</w:t>
      </w:r>
      <w:r w:rsidR="0038200F">
        <w:rPr>
          <w:rFonts w:ascii="Open Sans" w:hAnsi="Open Sans" w:cs="Open Sans"/>
          <w:sz w:val="24"/>
          <w:szCs w:val="24"/>
        </w:rPr>
        <w:t>-</w:t>
      </w:r>
      <w:r w:rsidRPr="005B242B">
        <w:rPr>
          <w:rFonts w:ascii="Open Sans" w:hAnsi="Open Sans" w:cs="Open Sans"/>
          <w:sz w:val="24"/>
          <w:szCs w:val="24"/>
        </w:rPr>
        <w:t xml:space="preserve">averse with the fear of losing 100 </w:t>
      </w:r>
      <w:r>
        <w:rPr>
          <w:rFonts w:ascii="Open Sans" w:hAnsi="Open Sans" w:cs="Open Sans"/>
          <w:sz w:val="24"/>
          <w:szCs w:val="24"/>
        </w:rPr>
        <w:t xml:space="preserve">dollars </w:t>
      </w:r>
      <w:r w:rsidRPr="005B242B">
        <w:rPr>
          <w:rFonts w:ascii="Open Sans" w:hAnsi="Open Sans" w:cs="Open Sans"/>
          <w:sz w:val="24"/>
          <w:szCs w:val="24"/>
        </w:rPr>
        <w:t>being more intense than the hope of gaining 150</w:t>
      </w:r>
      <w:r>
        <w:rPr>
          <w:rFonts w:ascii="Open Sans" w:hAnsi="Open Sans" w:cs="Open Sans"/>
          <w:sz w:val="24"/>
          <w:szCs w:val="24"/>
        </w:rPr>
        <w:t xml:space="preserve"> dollars</w:t>
      </w:r>
      <w:r w:rsidRPr="005B242B">
        <w:rPr>
          <w:rFonts w:ascii="Open Sans" w:hAnsi="Open Sans" w:cs="Open Sans"/>
          <w:sz w:val="24"/>
          <w:szCs w:val="24"/>
        </w:rPr>
        <w:t>.</w:t>
      </w:r>
    </w:p>
    <w:p w14:paraId="122604C3" w14:textId="77777777" w:rsidR="0038200F" w:rsidRDefault="0038200F" w:rsidP="0038200F">
      <w:pPr>
        <w:pStyle w:val="Script"/>
        <w:spacing w:before="120" w:after="0" w:line="360" w:lineRule="auto"/>
        <w:rPr>
          <w:rFonts w:ascii="Open Sans" w:hAnsi="Open Sans" w:cs="Open Sans"/>
          <w:sz w:val="24"/>
          <w:szCs w:val="24"/>
        </w:rPr>
      </w:pPr>
    </w:p>
    <w:p w14:paraId="7D90A775" w14:textId="77777777" w:rsidR="0038200F" w:rsidRDefault="0038200F" w:rsidP="0038200F">
      <w:pPr>
        <w:pStyle w:val="Script"/>
        <w:spacing w:before="120" w:after="0" w:line="360" w:lineRule="auto"/>
        <w:rPr>
          <w:rFonts w:ascii="Open Sans" w:hAnsi="Open Sans" w:cs="Open Sans"/>
          <w:sz w:val="24"/>
          <w:szCs w:val="24"/>
        </w:rPr>
      </w:pPr>
    </w:p>
    <w:p w14:paraId="79B1E876" w14:textId="77777777" w:rsidR="0038200F" w:rsidRDefault="0038200F" w:rsidP="0038200F">
      <w:pPr>
        <w:pStyle w:val="Script"/>
        <w:spacing w:before="120" w:after="0" w:line="360" w:lineRule="auto"/>
        <w:rPr>
          <w:rFonts w:ascii="Open Sans" w:hAnsi="Open Sans" w:cs="Open Sans"/>
          <w:sz w:val="24"/>
          <w:szCs w:val="24"/>
        </w:rPr>
      </w:pPr>
    </w:p>
    <w:p w14:paraId="5EAC4225" w14:textId="4D25D361" w:rsidR="005B242B" w:rsidRDefault="005B242B" w:rsidP="0038200F">
      <w:pPr>
        <w:pStyle w:val="Heading2"/>
        <w:spacing w:before="120" w:line="360" w:lineRule="auto"/>
      </w:pPr>
      <w:r>
        <w:lastRenderedPageBreak/>
        <w:t>Slide #4</w:t>
      </w:r>
      <w:r>
        <w:rPr>
          <w:noProof/>
        </w:rPr>
        <w:drawing>
          <wp:inline distT="0" distB="0" distL="0" distR="0" wp14:anchorId="1E8B93AA" wp14:editId="5DC2508D">
            <wp:extent cx="5731510" cy="3213100"/>
            <wp:effectExtent l="0" t="0" r="2540" b="6350"/>
            <wp:docPr id="332964130" name="Picture 4" descr="Prospect Princip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4130" name="Picture 4" descr="Prospect Principle Model"/>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2B7D4B65" w14:textId="77777777" w:rsidR="0038200F"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This principle is illustrated in the chart below. </w:t>
      </w:r>
    </w:p>
    <w:p w14:paraId="4F5D99C6" w14:textId="4062DB21"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The x</w:t>
      </w:r>
      <w:r w:rsidR="0038200F">
        <w:rPr>
          <w:rFonts w:ascii="Open Sans" w:hAnsi="Open Sans" w:cs="Open Sans"/>
          <w:sz w:val="24"/>
          <w:szCs w:val="24"/>
        </w:rPr>
        <w:t>-</w:t>
      </w:r>
      <w:r w:rsidRPr="005B242B">
        <w:rPr>
          <w:rFonts w:ascii="Open Sans" w:hAnsi="Open Sans" w:cs="Open Sans"/>
          <w:sz w:val="24"/>
          <w:szCs w:val="24"/>
        </w:rPr>
        <w:t>axis represents the outcomes of economic decisions with financial gains on the right and losses on the left. The y</w:t>
      </w:r>
      <w:r w:rsidR="0038200F">
        <w:rPr>
          <w:rFonts w:ascii="Open Sans" w:hAnsi="Open Sans" w:cs="Open Sans"/>
          <w:sz w:val="24"/>
          <w:szCs w:val="24"/>
        </w:rPr>
        <w:t>-</w:t>
      </w:r>
      <w:r w:rsidRPr="005B242B">
        <w:rPr>
          <w:rFonts w:ascii="Open Sans" w:hAnsi="Open Sans" w:cs="Open Sans"/>
          <w:sz w:val="24"/>
          <w:szCs w:val="24"/>
        </w:rPr>
        <w:t>axis represents the subjective perceived value of these outcomes to individuals making decisions.</w:t>
      </w:r>
    </w:p>
    <w:p w14:paraId="54E13225" w14:textId="77777777"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The Prospect Principle underscores that people undervalue financial gains and fail to appreciate the value of their outcomes once it exceeds a certain threshold. This behavior pattern is frequently observed when individuals encounter risks associated with uncertainty. They often overlook positive outcomes and disproportionately emphasize potential losses.</w:t>
      </w:r>
    </w:p>
    <w:p w14:paraId="6D0B8FD3" w14:textId="77777777" w:rsidR="005B242B" w:rsidRDefault="005B242B" w:rsidP="0038200F">
      <w:pPr>
        <w:pStyle w:val="Script"/>
        <w:spacing w:before="120" w:after="0" w:line="360" w:lineRule="auto"/>
        <w:rPr>
          <w:rFonts w:ascii="Open Sans" w:hAnsi="Open Sans" w:cs="Open Sans"/>
          <w:sz w:val="24"/>
          <w:szCs w:val="24"/>
        </w:rPr>
      </w:pPr>
    </w:p>
    <w:p w14:paraId="6EC5AF9A" w14:textId="3B0C100E" w:rsidR="005B242B" w:rsidRDefault="005B242B" w:rsidP="0038200F">
      <w:pPr>
        <w:pStyle w:val="Heading2"/>
        <w:spacing w:before="120" w:line="360" w:lineRule="auto"/>
      </w:pPr>
      <w:r>
        <w:lastRenderedPageBreak/>
        <w:t>Slide #5</w:t>
      </w:r>
      <w:r>
        <w:rPr>
          <w:noProof/>
        </w:rPr>
        <w:drawing>
          <wp:inline distT="0" distB="0" distL="0" distR="0" wp14:anchorId="317FF3C7" wp14:editId="0393F247">
            <wp:extent cx="5731510" cy="3220720"/>
            <wp:effectExtent l="0" t="0" r="2540" b="0"/>
            <wp:docPr id="433948855" name="Picture 5" descr="Diminishing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8855" name="Picture 5" descr="Diminishing Sensitivity"/>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60497F43" w14:textId="77777777" w:rsidR="0038200F"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Another way to interpret the prospect principle is that individuals become less sensitive to incremental changes in gains or losses as they increase. The marginal impact of gains or losses diminishes as they accumulate. </w:t>
      </w:r>
    </w:p>
    <w:p w14:paraId="34F1F432" w14:textId="43E917F9"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Diminishing sensitivity explains why investors tend to adopt a more conservative approach after experiencing significant financial gains as their initial thrill of achievement diminishes with further gains.</w:t>
      </w:r>
    </w:p>
    <w:p w14:paraId="4131E5AD" w14:textId="77777777"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This also clarifies why individuals may persist in gambling even after incurring significant losses. In such cases, gamblers with diminished sense of further losses tend to misjudge their chance of recouping losses. Behavior psychologists have extensively documented the phenomenon of risk aversion.</w:t>
      </w:r>
    </w:p>
    <w:p w14:paraId="49C6A5A5" w14:textId="32D22BDA" w:rsid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People are risk averse not due to a lack of </w:t>
      </w:r>
      <w:r w:rsidR="0038200F" w:rsidRPr="005B242B">
        <w:rPr>
          <w:rFonts w:ascii="Open Sans" w:hAnsi="Open Sans" w:cs="Open Sans"/>
          <w:sz w:val="24"/>
          <w:szCs w:val="24"/>
        </w:rPr>
        <w:t>self-confidence</w:t>
      </w:r>
      <w:r w:rsidRPr="005B242B">
        <w:rPr>
          <w:rFonts w:ascii="Open Sans" w:hAnsi="Open Sans" w:cs="Open Sans"/>
          <w:sz w:val="24"/>
          <w:szCs w:val="24"/>
        </w:rPr>
        <w:t>, but because we view our goals as opportunities to maintain stability.</w:t>
      </w:r>
    </w:p>
    <w:p w14:paraId="3B0722DB" w14:textId="77777777" w:rsidR="005B242B" w:rsidRDefault="005B242B" w:rsidP="0038200F">
      <w:pPr>
        <w:pStyle w:val="Script"/>
        <w:spacing w:before="120" w:after="0" w:line="360" w:lineRule="auto"/>
        <w:rPr>
          <w:rFonts w:ascii="Open Sans" w:hAnsi="Open Sans" w:cs="Open Sans"/>
          <w:sz w:val="24"/>
          <w:szCs w:val="24"/>
        </w:rPr>
      </w:pPr>
    </w:p>
    <w:p w14:paraId="3B561C69" w14:textId="77777777" w:rsidR="005B242B" w:rsidRDefault="005B242B" w:rsidP="0038200F">
      <w:pPr>
        <w:pStyle w:val="Script"/>
        <w:spacing w:before="120" w:after="0" w:line="360" w:lineRule="auto"/>
        <w:rPr>
          <w:rFonts w:ascii="Open Sans" w:hAnsi="Open Sans" w:cs="Open Sans"/>
          <w:sz w:val="24"/>
          <w:szCs w:val="24"/>
        </w:rPr>
      </w:pPr>
    </w:p>
    <w:p w14:paraId="3F179C70" w14:textId="50A931EC" w:rsidR="005B242B" w:rsidRDefault="005B242B" w:rsidP="0038200F">
      <w:pPr>
        <w:pStyle w:val="Heading2"/>
        <w:spacing w:before="120" w:line="360" w:lineRule="auto"/>
      </w:pPr>
      <w:r>
        <w:lastRenderedPageBreak/>
        <w:t>Slide #6</w:t>
      </w:r>
      <w:r>
        <w:rPr>
          <w:noProof/>
        </w:rPr>
        <w:drawing>
          <wp:inline distT="0" distB="0" distL="0" distR="0" wp14:anchorId="3CD4AE6A" wp14:editId="7B0ED87B">
            <wp:extent cx="5731510" cy="3213100"/>
            <wp:effectExtent l="0" t="0" r="2540" b="6350"/>
            <wp:docPr id="111414175" name="Picture 6" descr="Assessment: a simple decision (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4175" name="Picture 6" descr="Assessment: a simple decision (cas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18D2C651" w14:textId="6C910496"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In the first scenario of the </w:t>
      </w:r>
      <w:r w:rsidR="0038200F" w:rsidRPr="005B242B">
        <w:rPr>
          <w:rFonts w:ascii="Open Sans" w:hAnsi="Open Sans" w:cs="Open Sans"/>
          <w:sz w:val="24"/>
          <w:szCs w:val="24"/>
        </w:rPr>
        <w:t>risk-taking</w:t>
      </w:r>
      <w:r w:rsidRPr="005B242B">
        <w:rPr>
          <w:rFonts w:ascii="Open Sans" w:hAnsi="Open Sans" w:cs="Open Sans"/>
          <w:sz w:val="24"/>
          <w:szCs w:val="24"/>
        </w:rPr>
        <w:t xml:space="preserve"> assessments example, a risk</w:t>
      </w:r>
      <w:r w:rsidR="0038200F">
        <w:rPr>
          <w:rFonts w:ascii="Open Sans" w:hAnsi="Open Sans" w:cs="Open Sans"/>
          <w:sz w:val="24"/>
          <w:szCs w:val="24"/>
        </w:rPr>
        <w:t>-</w:t>
      </w:r>
      <w:r w:rsidRPr="005B242B">
        <w:rPr>
          <w:rFonts w:ascii="Open Sans" w:hAnsi="Open Sans" w:cs="Open Sans"/>
          <w:sz w:val="24"/>
          <w:szCs w:val="24"/>
        </w:rPr>
        <w:t>averse individual chooses option B, focusing on supporting the sales of the current product as it provides a higher certainty of meeting the performance target and demonstrates a commitment to maintaining and maximizing the success of the current profitable venture.</w:t>
      </w:r>
    </w:p>
    <w:p w14:paraId="33A40560" w14:textId="690EDD67" w:rsid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Those selecting option A are considered risk takers who chase extraordinary outcomes, willing to risk potential disaster for the promise of enormous success.</w:t>
      </w:r>
    </w:p>
    <w:p w14:paraId="5C2645E5" w14:textId="0BFB6967" w:rsidR="005B242B" w:rsidRDefault="005B242B" w:rsidP="0038200F">
      <w:pPr>
        <w:pStyle w:val="Heading2"/>
        <w:spacing w:before="120" w:line="360" w:lineRule="auto"/>
      </w:pPr>
      <w:r>
        <w:lastRenderedPageBreak/>
        <w:t>Slide #7</w:t>
      </w:r>
      <w:r>
        <w:rPr>
          <w:noProof/>
        </w:rPr>
        <w:drawing>
          <wp:inline distT="0" distB="0" distL="0" distR="0" wp14:anchorId="1D223600" wp14:editId="4284C88E">
            <wp:extent cx="5731510" cy="3208655"/>
            <wp:effectExtent l="0" t="0" r="2540" b="0"/>
            <wp:docPr id="1510315492" name="Picture 7" descr="Assessment: A simple decision (c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15492" name="Picture 7" descr="Assessment: A simple decision (cas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066F19F4" w14:textId="77777777"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On the other side, the prospect principle highlights a common behavioral tendency observed among individuals facing investment losses. Despite the potential for financial disaster, irrational investors still opt to take riskier decisions, driven by a psychological urge to swiftly recover losses and regain a sense of control over their financial situation.</w:t>
      </w:r>
    </w:p>
    <w:p w14:paraId="6F4364BA" w14:textId="77777777" w:rsidR="005B242B" w:rsidRPr="005B242B" w:rsidRDefault="005B242B"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This impulsive behavior, seen in Scenario 2, often leads individuals to opt for the riskier choice. They gamble on a risky generative AI product to salvage the underperforming current product and strive to beat the annual target despite the high likelihood of financial disaster for the company. The second option offers greatest certainty in meeting the annual financial target, albeit with less ambitious potential. </w:t>
      </w:r>
    </w:p>
    <w:p w14:paraId="12E8C110" w14:textId="77777777" w:rsidR="005B242B" w:rsidRDefault="005B242B" w:rsidP="0038200F">
      <w:pPr>
        <w:pStyle w:val="Script"/>
        <w:spacing w:before="120" w:after="0" w:line="360" w:lineRule="auto"/>
        <w:rPr>
          <w:rFonts w:ascii="Open Sans" w:hAnsi="Open Sans" w:cs="Open Sans"/>
          <w:sz w:val="24"/>
          <w:szCs w:val="24"/>
        </w:rPr>
      </w:pPr>
    </w:p>
    <w:p w14:paraId="49B5EF32" w14:textId="212E5ED9" w:rsidR="005B242B" w:rsidRDefault="005B242B" w:rsidP="0038200F">
      <w:pPr>
        <w:pStyle w:val="Heading2"/>
        <w:spacing w:before="120" w:line="360" w:lineRule="auto"/>
      </w:pPr>
      <w:r>
        <w:lastRenderedPageBreak/>
        <w:t>Slide #8</w:t>
      </w:r>
      <w:r>
        <w:rPr>
          <w:noProof/>
        </w:rPr>
        <w:drawing>
          <wp:inline distT="0" distB="0" distL="0" distR="0" wp14:anchorId="262D67E1" wp14:editId="077C3187">
            <wp:extent cx="5731510" cy="3227705"/>
            <wp:effectExtent l="0" t="0" r="2540" b="0"/>
            <wp:docPr id="681833569" name="Picture 8" descr="Risk assessmen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3569" name="Picture 8" descr="Risk assessment summar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131303AF" w14:textId="32999026" w:rsidR="000B21AC" w:rsidRPr="005B242B" w:rsidRDefault="00000000"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According to the prospect principle, people are risk averse when making decisions. Humans tend to opt for a safer approach when faced with uncertain choices. Additionally, </w:t>
      </w:r>
      <w:r w:rsidR="0038200F" w:rsidRPr="005B242B">
        <w:rPr>
          <w:rFonts w:ascii="Open Sans" w:hAnsi="Open Sans" w:cs="Open Sans"/>
          <w:sz w:val="24"/>
          <w:szCs w:val="24"/>
        </w:rPr>
        <w:t>individuals’</w:t>
      </w:r>
      <w:r w:rsidRPr="005B242B">
        <w:rPr>
          <w:rFonts w:ascii="Open Sans" w:hAnsi="Open Sans" w:cs="Open Sans"/>
          <w:sz w:val="24"/>
          <w:szCs w:val="24"/>
        </w:rPr>
        <w:t xml:space="preserve"> sensitivity to gains or losses diminishes as they increase. The reduced marginal impact of gains explains the conservative behavior of investors after they have achieved significant investment returns.</w:t>
      </w:r>
    </w:p>
    <w:p w14:paraId="5B810972" w14:textId="3949BE6E" w:rsidR="000B21AC" w:rsidRPr="005B242B" w:rsidRDefault="00000000"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 xml:space="preserve">On the other hand, gamblers tend to continue participating in casino activities with a biased hope to recoup previous losses. However, individuals still differ in terms of risk taking. It is prudent to be aware of your own </w:t>
      </w:r>
      <w:r w:rsidR="0038200F" w:rsidRPr="005B242B">
        <w:rPr>
          <w:rFonts w:ascii="Open Sans" w:hAnsi="Open Sans" w:cs="Open Sans"/>
          <w:sz w:val="24"/>
          <w:szCs w:val="24"/>
        </w:rPr>
        <w:t>risk-taking</w:t>
      </w:r>
      <w:r w:rsidRPr="005B242B">
        <w:rPr>
          <w:rFonts w:ascii="Open Sans" w:hAnsi="Open Sans" w:cs="Open Sans"/>
          <w:sz w:val="24"/>
          <w:szCs w:val="24"/>
        </w:rPr>
        <w:t xml:space="preserve"> preferences and to try to understand </w:t>
      </w:r>
      <w:proofErr w:type="gramStart"/>
      <w:r w:rsidRPr="005B242B">
        <w:rPr>
          <w:rFonts w:ascii="Open Sans" w:hAnsi="Open Sans" w:cs="Open Sans"/>
          <w:sz w:val="24"/>
          <w:szCs w:val="24"/>
        </w:rPr>
        <w:t>others</w:t>
      </w:r>
      <w:proofErr w:type="gramEnd"/>
      <w:r w:rsidRPr="005B242B">
        <w:rPr>
          <w:rFonts w:ascii="Open Sans" w:hAnsi="Open Sans" w:cs="Open Sans"/>
          <w:sz w:val="24"/>
          <w:szCs w:val="24"/>
        </w:rPr>
        <w:t xml:space="preserve"> behaviors so that you can feel wholeheartedly comfortable and confident in making your judgments. </w:t>
      </w:r>
    </w:p>
    <w:p w14:paraId="00542F16" w14:textId="77777777" w:rsidR="000B21AC" w:rsidRPr="005B242B" w:rsidRDefault="00000000" w:rsidP="0038200F">
      <w:pPr>
        <w:pStyle w:val="Script"/>
        <w:spacing w:before="120" w:after="0" w:line="360" w:lineRule="auto"/>
        <w:rPr>
          <w:rFonts w:ascii="Open Sans" w:hAnsi="Open Sans" w:cs="Open Sans"/>
          <w:sz w:val="24"/>
          <w:szCs w:val="24"/>
        </w:rPr>
      </w:pPr>
      <w:r w:rsidRPr="005B242B">
        <w:rPr>
          <w:rFonts w:ascii="Open Sans" w:hAnsi="Open Sans" w:cs="Open Sans"/>
          <w:sz w:val="24"/>
          <w:szCs w:val="24"/>
        </w:rPr>
        <w:t>​</w:t>
      </w:r>
    </w:p>
    <w:sectPr w:rsidR="000B21AC" w:rsidRPr="005B24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F17BE6"/>
    <w:multiLevelType w:val="hybridMultilevel"/>
    <w:tmpl w:val="FB78B916"/>
    <w:lvl w:ilvl="0" w:tplc="2A7A154E">
      <w:start w:val="1"/>
      <w:numFmt w:val="bullet"/>
      <w:lvlText w:val="●"/>
      <w:lvlJc w:val="left"/>
      <w:pPr>
        <w:ind w:left="720" w:hanging="360"/>
      </w:pPr>
    </w:lvl>
    <w:lvl w:ilvl="1" w:tplc="D28003C4">
      <w:start w:val="1"/>
      <w:numFmt w:val="bullet"/>
      <w:lvlText w:val="○"/>
      <w:lvlJc w:val="left"/>
      <w:pPr>
        <w:ind w:left="1440" w:hanging="360"/>
      </w:pPr>
    </w:lvl>
    <w:lvl w:ilvl="2" w:tplc="D91A5C56">
      <w:start w:val="1"/>
      <w:numFmt w:val="bullet"/>
      <w:lvlText w:val="■"/>
      <w:lvlJc w:val="left"/>
      <w:pPr>
        <w:ind w:left="2160" w:hanging="360"/>
      </w:pPr>
    </w:lvl>
    <w:lvl w:ilvl="3" w:tplc="EB70CEDC">
      <w:start w:val="1"/>
      <w:numFmt w:val="bullet"/>
      <w:lvlText w:val="●"/>
      <w:lvlJc w:val="left"/>
      <w:pPr>
        <w:ind w:left="2880" w:hanging="360"/>
      </w:pPr>
    </w:lvl>
    <w:lvl w:ilvl="4" w:tplc="51B26F3E">
      <w:start w:val="1"/>
      <w:numFmt w:val="bullet"/>
      <w:lvlText w:val="○"/>
      <w:lvlJc w:val="left"/>
      <w:pPr>
        <w:ind w:left="3600" w:hanging="360"/>
      </w:pPr>
    </w:lvl>
    <w:lvl w:ilvl="5" w:tplc="24E491AA">
      <w:start w:val="1"/>
      <w:numFmt w:val="bullet"/>
      <w:lvlText w:val="■"/>
      <w:lvlJc w:val="left"/>
      <w:pPr>
        <w:ind w:left="4320" w:hanging="360"/>
      </w:pPr>
    </w:lvl>
    <w:lvl w:ilvl="6" w:tplc="A2E8308A">
      <w:start w:val="1"/>
      <w:numFmt w:val="bullet"/>
      <w:lvlText w:val="●"/>
      <w:lvlJc w:val="left"/>
      <w:pPr>
        <w:ind w:left="5040" w:hanging="360"/>
      </w:pPr>
    </w:lvl>
    <w:lvl w:ilvl="7" w:tplc="8EFA6F14">
      <w:start w:val="1"/>
      <w:numFmt w:val="bullet"/>
      <w:lvlText w:val="●"/>
      <w:lvlJc w:val="left"/>
      <w:pPr>
        <w:ind w:left="5760" w:hanging="360"/>
      </w:pPr>
    </w:lvl>
    <w:lvl w:ilvl="8" w:tplc="DD92BFB2">
      <w:start w:val="1"/>
      <w:numFmt w:val="bullet"/>
      <w:lvlText w:val="●"/>
      <w:lvlJc w:val="left"/>
      <w:pPr>
        <w:ind w:left="6480" w:hanging="360"/>
      </w:pPr>
    </w:lvl>
  </w:abstractNum>
  <w:num w:numId="1" w16cid:durableId="171076369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1AC"/>
    <w:rsid w:val="000B21AC"/>
    <w:rsid w:val="003161CB"/>
    <w:rsid w:val="0038200F"/>
    <w:rsid w:val="005B2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7944"/>
  <w15:docId w15:val="{C92263AF-FED5-48F9-8A52-563A12939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5B242B"/>
    <w:pPr>
      <w:spacing w:before="120" w:after="260"/>
      <w:jc w:val="center"/>
      <w:outlineLvl w:val="0"/>
    </w:pPr>
    <w:rPr>
      <w:rFonts w:ascii="Open Sans" w:hAnsi="Open Sans"/>
      <w:b/>
      <w:bCs/>
      <w:sz w:val="36"/>
      <w:szCs w:val="48"/>
    </w:rPr>
  </w:style>
  <w:style w:type="paragraph" w:styleId="Heading2">
    <w:name w:val="heading 2"/>
    <w:uiPriority w:val="9"/>
    <w:unhideWhenUsed/>
    <w:qFormat/>
    <w:rsid w:val="005B242B"/>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M1L11 - Prospect principle</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 Principle</dc:title>
  <dc:creator>Un-named</dc:creator>
  <cp:lastModifiedBy>Williams, Elisabeth G</cp:lastModifiedBy>
  <cp:revision>2</cp:revision>
  <cp:lastPrinted>2024-07-12T21:17:00Z</cp:lastPrinted>
  <dcterms:created xsi:type="dcterms:W3CDTF">2024-07-12T21:17:00Z</dcterms:created>
  <dcterms:modified xsi:type="dcterms:W3CDTF">2024-07-12T21:17:00Z</dcterms:modified>
</cp:coreProperties>
</file>