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C07A96D" w14:textId="254C593B" w:rsidR="00DF2021" w:rsidRDefault="00000000" w:rsidP="003337F8">
      <w:pPr>
        <w:pStyle w:val="Heading1"/>
        <w:spacing w:after="0" w:line="360" w:lineRule="auto"/>
      </w:pPr>
      <w:r>
        <w:t>M2L11</w:t>
      </w:r>
      <w:r w:rsidR="00F1452F">
        <w:t>.</w:t>
      </w:r>
      <w:r>
        <w:t xml:space="preserve"> Common Judgement Fallacies</w:t>
      </w:r>
    </w:p>
    <w:p w14:paraId="3367044D" w14:textId="77777777" w:rsidR="00F1452F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73F8419E" w14:textId="10A8538F" w:rsidR="00F1452F" w:rsidRDefault="00F1452F" w:rsidP="003337F8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09E1197C" wp14:editId="0663D47A">
            <wp:extent cx="5731510" cy="3208655"/>
            <wp:effectExtent l="0" t="0" r="2540" b="0"/>
            <wp:docPr id="2048345883" name="Picture 1" descr="Judgment Behaviors under Uncertain Business Sit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5883" name="Picture 1" descr="Judgment Behaviors under Uncertain Business Situation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8F3A" w14:textId="77777777" w:rsidR="003337F8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In uncertain business situations, decision makers often exhibit some psychological fallacies, whether knowingly or inadvertently. </w:t>
      </w:r>
    </w:p>
    <w:p w14:paraId="3A63B1DA" w14:textId="7A72C68A" w:rsidR="00F1452F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Understanding these behaviors is vital for navigating the complexities of decision making and achieving favorable outcomes.</w:t>
      </w:r>
    </w:p>
    <w:p w14:paraId="3E5F4866" w14:textId="5417954C" w:rsidR="00F1452F" w:rsidRDefault="00F1452F" w:rsidP="003337F8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7B979EF9" wp14:editId="05681E6C">
            <wp:extent cx="5731510" cy="3194050"/>
            <wp:effectExtent l="0" t="0" r="2540" b="6350"/>
            <wp:docPr id="1177094995" name="Picture 2" descr="Common Judgment Fallacies in Uncertain Business Situ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4995" name="Picture 2" descr="Common Judgment Fallacies in Uncertain Business Situation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682" w14:textId="77777777" w:rsidR="00F1452F" w:rsidRPr="00F1452F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We will discuss three prevalent judgment fallacies that decision makers frequently encounter.</w:t>
      </w:r>
    </w:p>
    <w:p w14:paraId="27EFC172" w14:textId="72054F95" w:rsidR="00F1452F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The endowment effect, status quo bias, and escalation of commitment.</w:t>
      </w:r>
    </w:p>
    <w:p w14:paraId="1FF16789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B6E5157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409C5D43" w14:textId="4B64429B" w:rsidR="00F1452F" w:rsidRDefault="00F1452F" w:rsidP="003337F8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53279708" wp14:editId="5F34BDF4">
            <wp:extent cx="5731510" cy="3208655"/>
            <wp:effectExtent l="0" t="0" r="2540" b="0"/>
            <wp:docPr id="348067360" name="Picture 3" descr="Endowment Eff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7360" name="Picture 3" descr="Endowment Effec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D19E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First, the endowment effect explains why sellers tend to overprice what they own. </w:t>
      </w:r>
    </w:p>
    <w:p w14:paraId="5DCE3409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When individuals possess an item, </w:t>
      </w:r>
      <w:r>
        <w:rPr>
          <w:rFonts w:ascii="Open Sans" w:hAnsi="Open Sans" w:cs="Open Sans"/>
          <w:sz w:val="24"/>
          <w:szCs w:val="24"/>
        </w:rPr>
        <w:t>t</w:t>
      </w:r>
      <w:r w:rsidRPr="00F1452F">
        <w:rPr>
          <w:rFonts w:ascii="Open Sans" w:hAnsi="Open Sans" w:cs="Open Sans"/>
          <w:sz w:val="24"/>
          <w:szCs w:val="24"/>
        </w:rPr>
        <w:t xml:space="preserve">hey often perceive it as more valuable than when they do not. </w:t>
      </w:r>
    </w:p>
    <w:p w14:paraId="5305A2F7" w14:textId="0909F37A" w:rsidR="003337F8" w:rsidRPr="00F1452F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This phenomenon can lead to overpricing products or services, making transactions more difficult.</w:t>
      </w:r>
    </w:p>
    <w:p w14:paraId="3A1C1E96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For example, a business owner might value their company's proprietary technology higher than potential buyers do, simply because they developed and own it. </w:t>
      </w:r>
    </w:p>
    <w:p w14:paraId="78532F8D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This inflated valuation can hinder negotiations and potentially stall beneficial deals. </w:t>
      </w:r>
    </w:p>
    <w:p w14:paraId="1A49B45A" w14:textId="63CE31A3" w:rsidR="003337F8" w:rsidRPr="00F1452F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By recognizing the endowment effect, decision makers can strive to adopt a more objective perspective, enhancing their ability to price assets realistically and facilitating smoother transactions.</w:t>
      </w:r>
    </w:p>
    <w:p w14:paraId="6634B4AF" w14:textId="77777777" w:rsidR="00F1452F" w:rsidRDefault="00F1452F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BA7B530" w14:textId="698AB874" w:rsidR="00F1452F" w:rsidRDefault="00F1452F" w:rsidP="003337F8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4AB48CED" wp14:editId="155E56CD">
            <wp:extent cx="5731510" cy="3203575"/>
            <wp:effectExtent l="0" t="0" r="2540" b="0"/>
            <wp:docPr id="477466620" name="Picture 4" descr="Status quo B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66620" name="Picture 4" descr="Status quo Bia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FD0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Another common behavior is status quo bias, which illustrates the difficulty of making changes. </w:t>
      </w:r>
    </w:p>
    <w:p w14:paraId="10D47A71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People often prefer to maintain their current state, even when change could lead to better outcomes. </w:t>
      </w:r>
    </w:p>
    <w:p w14:paraId="088C68BD" w14:textId="016B6A2A" w:rsidR="003337F8" w:rsidRPr="00F1452F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This reluctance to change can manifest in business settings as a resistance to new strategies, technologies, or processes.</w:t>
      </w:r>
    </w:p>
    <w:p w14:paraId="78E1B92A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For instance, a company may stick with outdated software because employees are accustomed to it, despite the availability of more efficient solutions. </w:t>
      </w:r>
    </w:p>
    <w:p w14:paraId="65904F56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This inertia can stifle innovation and impede progress. </w:t>
      </w:r>
    </w:p>
    <w:p w14:paraId="0D9ABE08" w14:textId="06898A6E" w:rsidR="003337F8" w:rsidRPr="00F1452F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By acknowledging status quo bias, leaders can create a more dynamic environment that encourages adaptation and growth, fostering long term success.</w:t>
      </w:r>
    </w:p>
    <w:p w14:paraId="2C8A4EDD" w14:textId="77777777" w:rsidR="003337F8" w:rsidRDefault="003337F8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EDCA5AB" w14:textId="353886B8" w:rsidR="00F1452F" w:rsidRDefault="00F1452F" w:rsidP="003337F8">
      <w:pPr>
        <w:pStyle w:val="Heading2"/>
        <w:spacing w:before="120"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26C5B5A8" wp14:editId="50CAF679">
            <wp:extent cx="5731510" cy="3206115"/>
            <wp:effectExtent l="0" t="0" r="2540" b="0"/>
            <wp:docPr id="623903332" name="Picture 5" descr="Escalation of Commi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03332" name="Picture 5" descr="Escalation of Commit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98E0" w14:textId="77777777" w:rsidR="003337F8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The escalation of commitment fallacy explains how we react to previous decisions or the actions of others. </w:t>
      </w:r>
    </w:p>
    <w:p w14:paraId="48562CAD" w14:textId="77777777" w:rsidR="003337F8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This behavior involves continuing to invest in a decision despite evidence suggesting it may not be the best course of action. </w:t>
      </w:r>
    </w:p>
    <w:p w14:paraId="1124749E" w14:textId="14958D30" w:rsidR="00DF2021" w:rsidRPr="00F1452F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Lastly, the escalation of commitment fallacy explains how we react to previous decisions or the actions of others.</w:t>
      </w:r>
    </w:p>
    <w:p w14:paraId="78BFC05B" w14:textId="77777777" w:rsidR="003337F8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Often driven by a desire to justify past investments, this can lead to further losses. </w:t>
      </w:r>
    </w:p>
    <w:p w14:paraId="0535CAAF" w14:textId="77777777" w:rsidR="003337F8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For example, a company might continue funding a failing project because significant resources have already been committed, hoping for an unlikely turnaround. </w:t>
      </w:r>
    </w:p>
    <w:p w14:paraId="3E9A8B65" w14:textId="6F43558C" w:rsidR="00DF2021" w:rsidRPr="00F1452F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>Recognizing escalation of commitment allows decision makers to evaluate situations more objectively, enabling them to cut losses when necessary and reallocate resources to more promising ventures.</w:t>
      </w:r>
    </w:p>
    <w:p w14:paraId="40B90EAC" w14:textId="77777777" w:rsidR="003337F8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lastRenderedPageBreak/>
        <w:t xml:space="preserve">To prevent unconsciously falling into these common behaviors, it's crucial to recognize and address them in decision making. </w:t>
      </w:r>
    </w:p>
    <w:p w14:paraId="49E26BCC" w14:textId="18664A1A" w:rsidR="00DF2021" w:rsidRPr="00F1452F" w:rsidRDefault="00000000" w:rsidP="003337F8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F1452F">
        <w:rPr>
          <w:rFonts w:ascii="Open Sans" w:hAnsi="Open Sans" w:cs="Open Sans"/>
          <w:sz w:val="24"/>
          <w:szCs w:val="24"/>
        </w:rPr>
        <w:t xml:space="preserve">In the forthcoming lectures, </w:t>
      </w:r>
      <w:r w:rsidR="003337F8" w:rsidRPr="00F1452F">
        <w:rPr>
          <w:rFonts w:ascii="Open Sans" w:hAnsi="Open Sans" w:cs="Open Sans"/>
          <w:sz w:val="24"/>
          <w:szCs w:val="24"/>
        </w:rPr>
        <w:t>we</w:t>
      </w:r>
      <w:r w:rsidRPr="00F1452F">
        <w:rPr>
          <w:rFonts w:ascii="Open Sans" w:hAnsi="Open Sans" w:cs="Open Sans"/>
          <w:sz w:val="24"/>
          <w:szCs w:val="24"/>
        </w:rPr>
        <w:t xml:space="preserve"> will discuss in detail these judgment behaviors and provide strategies for effectively managing them.</w:t>
      </w:r>
    </w:p>
    <w:sectPr w:rsidR="00DF2021" w:rsidRPr="00F14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970077"/>
    <w:multiLevelType w:val="hybridMultilevel"/>
    <w:tmpl w:val="FCC0F27A"/>
    <w:lvl w:ilvl="0" w:tplc="F446DDFE">
      <w:start w:val="1"/>
      <w:numFmt w:val="bullet"/>
      <w:lvlText w:val="●"/>
      <w:lvlJc w:val="left"/>
      <w:pPr>
        <w:ind w:left="720" w:hanging="360"/>
      </w:pPr>
    </w:lvl>
    <w:lvl w:ilvl="1" w:tplc="DFA0B5D4">
      <w:start w:val="1"/>
      <w:numFmt w:val="bullet"/>
      <w:lvlText w:val="○"/>
      <w:lvlJc w:val="left"/>
      <w:pPr>
        <w:ind w:left="1440" w:hanging="360"/>
      </w:pPr>
    </w:lvl>
    <w:lvl w:ilvl="2" w:tplc="F5BE3E48">
      <w:start w:val="1"/>
      <w:numFmt w:val="bullet"/>
      <w:lvlText w:val="■"/>
      <w:lvlJc w:val="left"/>
      <w:pPr>
        <w:ind w:left="2160" w:hanging="360"/>
      </w:pPr>
    </w:lvl>
    <w:lvl w:ilvl="3" w:tplc="D0F0FE50">
      <w:start w:val="1"/>
      <w:numFmt w:val="bullet"/>
      <w:lvlText w:val="●"/>
      <w:lvlJc w:val="left"/>
      <w:pPr>
        <w:ind w:left="2880" w:hanging="360"/>
      </w:pPr>
    </w:lvl>
    <w:lvl w:ilvl="4" w:tplc="E18EA86C">
      <w:start w:val="1"/>
      <w:numFmt w:val="bullet"/>
      <w:lvlText w:val="○"/>
      <w:lvlJc w:val="left"/>
      <w:pPr>
        <w:ind w:left="3600" w:hanging="360"/>
      </w:pPr>
    </w:lvl>
    <w:lvl w:ilvl="5" w:tplc="C52E233E">
      <w:start w:val="1"/>
      <w:numFmt w:val="bullet"/>
      <w:lvlText w:val="■"/>
      <w:lvlJc w:val="left"/>
      <w:pPr>
        <w:ind w:left="4320" w:hanging="360"/>
      </w:pPr>
    </w:lvl>
    <w:lvl w:ilvl="6" w:tplc="647EA0A8">
      <w:start w:val="1"/>
      <w:numFmt w:val="bullet"/>
      <w:lvlText w:val="●"/>
      <w:lvlJc w:val="left"/>
      <w:pPr>
        <w:ind w:left="5040" w:hanging="360"/>
      </w:pPr>
    </w:lvl>
    <w:lvl w:ilvl="7" w:tplc="F8D6C0F0">
      <w:start w:val="1"/>
      <w:numFmt w:val="bullet"/>
      <w:lvlText w:val="●"/>
      <w:lvlJc w:val="left"/>
      <w:pPr>
        <w:ind w:left="5760" w:hanging="360"/>
      </w:pPr>
    </w:lvl>
    <w:lvl w:ilvl="8" w:tplc="2D36C3E0">
      <w:start w:val="1"/>
      <w:numFmt w:val="bullet"/>
      <w:lvlText w:val="●"/>
      <w:lvlJc w:val="left"/>
      <w:pPr>
        <w:ind w:left="6480" w:hanging="360"/>
      </w:pPr>
    </w:lvl>
  </w:abstractNum>
  <w:num w:numId="1" w16cid:durableId="163271142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021"/>
    <w:rsid w:val="003337F8"/>
    <w:rsid w:val="00734022"/>
    <w:rsid w:val="00DF2021"/>
    <w:rsid w:val="00F14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A1AAD"/>
  <w15:docId w15:val="{9460C335-8ED8-45E8-B229-63A1856A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F1452F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F1452F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M2L11 - Common Judgement Fallacies</vt:lpstr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Common Judgement Fallacies</dc:title>
  <dc:creator>Un-named</dc:creator>
  <cp:lastModifiedBy>Williams, Elisabeth G</cp:lastModifiedBy>
  <cp:revision>2</cp:revision>
  <cp:lastPrinted>2024-07-31T15:53:00Z</cp:lastPrinted>
  <dcterms:created xsi:type="dcterms:W3CDTF">2024-07-31T15:53:00Z</dcterms:created>
  <dcterms:modified xsi:type="dcterms:W3CDTF">2024-07-31T15:53:00Z</dcterms:modified>
</cp:coreProperties>
</file>