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348FEDA4" w14:textId="4657495E" w:rsidR="001E3DB8" w:rsidRDefault="00000000" w:rsidP="002D61D4">
      <w:pPr>
        <w:pStyle w:val="Heading1"/>
        <w:spacing w:after="0" w:line="360" w:lineRule="auto"/>
      </w:pPr>
      <w:r>
        <w:t>M4</w:t>
      </w:r>
      <w:r w:rsidR="002D61D4">
        <w:t xml:space="preserve">L15. </w:t>
      </w:r>
      <w:r>
        <w:t>Risk</w:t>
      </w:r>
      <w:r w:rsidR="002D61D4">
        <w:t xml:space="preserve"> T</w:t>
      </w:r>
      <w:r>
        <w:t>olerance</w:t>
      </w:r>
    </w:p>
    <w:p w14:paraId="2B9AA066" w14:textId="77777777" w:rsidR="002D61D4" w:rsidRDefault="002D61D4" w:rsidP="002D61D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64A22C61" w14:textId="76DB44EF" w:rsidR="002D61D4" w:rsidRDefault="002D61D4" w:rsidP="002D61D4">
      <w:pPr>
        <w:pStyle w:val="Heading2"/>
        <w:spacing w:before="120" w:line="360" w:lineRule="auto"/>
      </w:pPr>
      <w:r>
        <w:t>Slide #1</w:t>
      </w:r>
      <w:r>
        <w:rPr>
          <w:noProof/>
        </w:rPr>
        <w:drawing>
          <wp:inline distT="0" distB="0" distL="0" distR="0" wp14:anchorId="14E6D5A1" wp14:editId="17A04622">
            <wp:extent cx="5731510" cy="3225165"/>
            <wp:effectExtent l="0" t="0" r="2540" b="0"/>
            <wp:docPr id="919071708" name="Picture 1" descr="Risk Toler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071708" name="Picture 1" descr="Risk Tolera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01B4" w14:textId="77777777" w:rsidR="002D61D4" w:rsidRDefault="002D61D4" w:rsidP="002D61D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D61D4">
        <w:rPr>
          <w:rFonts w:ascii="Open Sans" w:hAnsi="Open Sans" w:cs="Open Sans"/>
          <w:sz w:val="24"/>
          <w:szCs w:val="24"/>
        </w:rPr>
        <w:t xml:space="preserve">In this topic, we will continue our discussion on </w:t>
      </w:r>
      <w:r w:rsidRPr="002D61D4">
        <w:rPr>
          <w:rFonts w:ascii="Open Sans" w:hAnsi="Open Sans" w:cs="Open Sans"/>
          <w:sz w:val="24"/>
          <w:szCs w:val="24"/>
        </w:rPr>
        <w:t>managers’</w:t>
      </w:r>
      <w:r w:rsidRPr="002D61D4">
        <w:rPr>
          <w:rFonts w:ascii="Open Sans" w:hAnsi="Open Sans" w:cs="Open Sans"/>
          <w:sz w:val="24"/>
          <w:szCs w:val="24"/>
        </w:rPr>
        <w:t xml:space="preserve"> risk profiles and correlate them to certainty equivalent value. </w:t>
      </w:r>
    </w:p>
    <w:p w14:paraId="1B92D9BE" w14:textId="6B05BF91" w:rsidR="002D61D4" w:rsidRDefault="002D61D4" w:rsidP="002D61D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D61D4">
        <w:rPr>
          <w:rFonts w:ascii="Open Sans" w:hAnsi="Open Sans" w:cs="Open Sans"/>
          <w:sz w:val="24"/>
          <w:szCs w:val="24"/>
        </w:rPr>
        <w:t>In the following topic, risk profiles will be analyzed using the utility function.</w:t>
      </w:r>
    </w:p>
    <w:p w14:paraId="10D8B23D" w14:textId="743FB97A" w:rsidR="002D61D4" w:rsidRDefault="002D61D4" w:rsidP="002D61D4">
      <w:pPr>
        <w:pStyle w:val="Heading2"/>
        <w:spacing w:before="120" w:line="360" w:lineRule="auto"/>
      </w:pPr>
      <w:r>
        <w:lastRenderedPageBreak/>
        <w:t>Slide #2</w:t>
      </w:r>
      <w:r>
        <w:rPr>
          <w:noProof/>
        </w:rPr>
        <w:drawing>
          <wp:inline distT="0" distB="0" distL="0" distR="0" wp14:anchorId="556A0856" wp14:editId="5DAB81D2">
            <wp:extent cx="5731510" cy="3222625"/>
            <wp:effectExtent l="0" t="0" r="2540" b="0"/>
            <wp:docPr id="820943473" name="Picture 2" descr="Risk-aver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43473" name="Picture 2" descr="Risk-avers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DC50" w14:textId="7C48CC0C" w:rsidR="002D61D4" w:rsidRPr="002D61D4" w:rsidRDefault="002D61D4" w:rsidP="002D61D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D61D4">
        <w:rPr>
          <w:rFonts w:ascii="Open Sans" w:hAnsi="Open Sans" w:cs="Open Sans"/>
          <w:sz w:val="24"/>
          <w:szCs w:val="24"/>
        </w:rPr>
        <w:t>Most people do not like risk and are willing to pay to avoid it</w:t>
      </w:r>
      <w:r>
        <w:rPr>
          <w:rFonts w:ascii="Open Sans" w:hAnsi="Open Sans" w:cs="Open Sans"/>
          <w:sz w:val="24"/>
          <w:szCs w:val="24"/>
        </w:rPr>
        <w:t>,</w:t>
      </w:r>
      <w:r w:rsidRPr="002D61D4">
        <w:rPr>
          <w:rFonts w:ascii="Open Sans" w:hAnsi="Open Sans" w:cs="Open Sans"/>
          <w:sz w:val="24"/>
          <w:szCs w:val="24"/>
        </w:rPr>
        <w:t xml:space="preserve"> </w:t>
      </w:r>
      <w:r>
        <w:rPr>
          <w:rFonts w:ascii="Open Sans" w:hAnsi="Open Sans" w:cs="Open Sans"/>
          <w:sz w:val="24"/>
          <w:szCs w:val="24"/>
        </w:rPr>
        <w:t>s</w:t>
      </w:r>
      <w:r w:rsidRPr="002D61D4">
        <w:rPr>
          <w:rFonts w:ascii="Open Sans" w:hAnsi="Open Sans" w:cs="Open Sans"/>
          <w:sz w:val="24"/>
          <w:szCs w:val="24"/>
        </w:rPr>
        <w:t xml:space="preserve">uch people are called </w:t>
      </w:r>
      <w:proofErr w:type="gramStart"/>
      <w:r w:rsidRPr="002D61D4">
        <w:rPr>
          <w:rFonts w:ascii="Open Sans" w:hAnsi="Open Sans" w:cs="Open Sans"/>
          <w:sz w:val="24"/>
          <w:szCs w:val="24"/>
        </w:rPr>
        <w:t>risk</w:t>
      </w:r>
      <w:r>
        <w:rPr>
          <w:rFonts w:ascii="Open Sans" w:hAnsi="Open Sans" w:cs="Open Sans"/>
          <w:sz w:val="24"/>
          <w:szCs w:val="24"/>
        </w:rPr>
        <w:t>-</w:t>
      </w:r>
      <w:r w:rsidRPr="002D61D4">
        <w:rPr>
          <w:rFonts w:ascii="Open Sans" w:hAnsi="Open Sans" w:cs="Open Sans"/>
          <w:sz w:val="24"/>
          <w:szCs w:val="24"/>
        </w:rPr>
        <w:t>averse</w:t>
      </w:r>
      <w:proofErr w:type="gramEnd"/>
      <w:r w:rsidRPr="002D61D4">
        <w:rPr>
          <w:rFonts w:ascii="Open Sans" w:hAnsi="Open Sans" w:cs="Open Sans"/>
          <w:sz w:val="24"/>
          <w:szCs w:val="24"/>
        </w:rPr>
        <w:t>.</w:t>
      </w:r>
    </w:p>
    <w:p w14:paraId="317C96C8" w14:textId="77777777" w:rsidR="002D61D4" w:rsidRDefault="002D61D4" w:rsidP="002D61D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D61D4">
        <w:rPr>
          <w:rFonts w:ascii="Open Sans" w:hAnsi="Open Sans" w:cs="Open Sans"/>
          <w:sz w:val="24"/>
          <w:szCs w:val="24"/>
        </w:rPr>
        <w:t xml:space="preserve">By choosing to upgrade an existing product with less than </w:t>
      </w:r>
      <w:proofErr w:type="gramStart"/>
      <w:r w:rsidRPr="002D61D4">
        <w:rPr>
          <w:rFonts w:ascii="Open Sans" w:hAnsi="Open Sans" w:cs="Open Sans"/>
          <w:sz w:val="24"/>
          <w:szCs w:val="24"/>
        </w:rPr>
        <w:t xml:space="preserve">a </w:t>
      </w:r>
      <w:r>
        <w:rPr>
          <w:rFonts w:ascii="Open Sans" w:hAnsi="Open Sans" w:cs="Open Sans"/>
          <w:sz w:val="24"/>
          <w:szCs w:val="24"/>
        </w:rPr>
        <w:t>6.4</w:t>
      </w:r>
      <w:proofErr w:type="gramEnd"/>
      <w:r>
        <w:rPr>
          <w:rFonts w:ascii="Open Sans" w:hAnsi="Open Sans" w:cs="Open Sans"/>
          <w:sz w:val="24"/>
          <w:szCs w:val="24"/>
        </w:rPr>
        <w:t xml:space="preserve"> million dollars</w:t>
      </w:r>
      <w:r w:rsidRPr="002D61D4">
        <w:rPr>
          <w:rFonts w:ascii="Open Sans" w:hAnsi="Open Sans" w:cs="Open Sans"/>
          <w:sz w:val="24"/>
          <w:szCs w:val="24"/>
        </w:rPr>
        <w:t xml:space="preserve"> expected value, you are effectively paying to avoid risk. </w:t>
      </w:r>
    </w:p>
    <w:p w14:paraId="1DA84055" w14:textId="77777777" w:rsidR="002D61D4" w:rsidRDefault="002D61D4" w:rsidP="002D61D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D61D4">
        <w:rPr>
          <w:rFonts w:ascii="Open Sans" w:hAnsi="Open Sans" w:cs="Open Sans"/>
          <w:sz w:val="24"/>
          <w:szCs w:val="24"/>
        </w:rPr>
        <w:t>That is, you are behaving in a risk</w:t>
      </w:r>
      <w:r>
        <w:rPr>
          <w:rFonts w:ascii="Open Sans" w:hAnsi="Open Sans" w:cs="Open Sans"/>
          <w:sz w:val="24"/>
          <w:szCs w:val="24"/>
        </w:rPr>
        <w:t>-</w:t>
      </w:r>
      <w:r w:rsidRPr="002D61D4">
        <w:rPr>
          <w:rFonts w:ascii="Open Sans" w:hAnsi="Open Sans" w:cs="Open Sans"/>
          <w:sz w:val="24"/>
          <w:szCs w:val="24"/>
        </w:rPr>
        <w:t xml:space="preserve">averse fashion. </w:t>
      </w:r>
    </w:p>
    <w:p w14:paraId="68C29B59" w14:textId="77777777" w:rsidR="002D61D4" w:rsidRDefault="002D61D4" w:rsidP="002D61D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D61D4">
        <w:rPr>
          <w:rFonts w:ascii="Open Sans" w:hAnsi="Open Sans" w:cs="Open Sans"/>
          <w:sz w:val="24"/>
          <w:szCs w:val="24"/>
        </w:rPr>
        <w:t>Risk</w:t>
      </w:r>
      <w:r>
        <w:rPr>
          <w:rFonts w:ascii="Open Sans" w:hAnsi="Open Sans" w:cs="Open Sans"/>
          <w:sz w:val="24"/>
          <w:szCs w:val="24"/>
        </w:rPr>
        <w:t>-</w:t>
      </w:r>
      <w:r w:rsidRPr="002D61D4">
        <w:rPr>
          <w:rFonts w:ascii="Open Sans" w:hAnsi="Open Sans" w:cs="Open Sans"/>
          <w:sz w:val="24"/>
          <w:szCs w:val="24"/>
        </w:rPr>
        <w:t xml:space="preserve">averse people will prefer the projects with lower risk when faced with two investments. </w:t>
      </w:r>
    </w:p>
    <w:p w14:paraId="356F0629" w14:textId="36875064" w:rsidR="002D61D4" w:rsidRDefault="002D61D4" w:rsidP="002D61D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D61D4">
        <w:rPr>
          <w:rFonts w:ascii="Open Sans" w:hAnsi="Open Sans" w:cs="Open Sans"/>
          <w:sz w:val="24"/>
          <w:szCs w:val="24"/>
        </w:rPr>
        <w:t>With a similar expected return, risk</w:t>
      </w:r>
      <w:r>
        <w:rPr>
          <w:rFonts w:ascii="Open Sans" w:hAnsi="Open Sans" w:cs="Open Sans"/>
          <w:sz w:val="24"/>
          <w:szCs w:val="24"/>
        </w:rPr>
        <w:t>-</w:t>
      </w:r>
      <w:r w:rsidRPr="002D61D4">
        <w:rPr>
          <w:rFonts w:ascii="Open Sans" w:hAnsi="Open Sans" w:cs="Open Sans"/>
          <w:sz w:val="24"/>
          <w:szCs w:val="24"/>
        </w:rPr>
        <w:t>averse investors will accept a certain payment of less than the expected value of uncertain payoffs</w:t>
      </w:r>
      <w:r>
        <w:rPr>
          <w:rFonts w:ascii="Open Sans" w:hAnsi="Open Sans" w:cs="Open Sans"/>
          <w:sz w:val="24"/>
          <w:szCs w:val="24"/>
        </w:rPr>
        <w:t xml:space="preserve">, </w:t>
      </w:r>
      <w:r w:rsidRPr="002D61D4">
        <w:rPr>
          <w:rFonts w:ascii="Open Sans" w:hAnsi="Open Sans" w:cs="Open Sans"/>
          <w:sz w:val="24"/>
          <w:szCs w:val="24"/>
        </w:rPr>
        <w:t xml:space="preserve">rather than taking a chance and possibly receiving </w:t>
      </w:r>
      <w:proofErr w:type="gramStart"/>
      <w:r w:rsidRPr="002D61D4">
        <w:rPr>
          <w:rFonts w:ascii="Open Sans" w:hAnsi="Open Sans" w:cs="Open Sans"/>
          <w:sz w:val="24"/>
          <w:szCs w:val="24"/>
        </w:rPr>
        <w:t>much</w:t>
      </w:r>
      <w:proofErr w:type="gramEnd"/>
      <w:r w:rsidRPr="002D61D4">
        <w:rPr>
          <w:rFonts w:ascii="Open Sans" w:hAnsi="Open Sans" w:cs="Open Sans"/>
          <w:sz w:val="24"/>
          <w:szCs w:val="24"/>
        </w:rPr>
        <w:t xml:space="preserve"> lower return.</w:t>
      </w:r>
    </w:p>
    <w:p w14:paraId="2806BDDA" w14:textId="5C6E80B2" w:rsidR="002D61D4" w:rsidRDefault="002D61D4" w:rsidP="002D61D4">
      <w:pPr>
        <w:pStyle w:val="Heading2"/>
        <w:spacing w:before="120" w:line="360" w:lineRule="auto"/>
      </w:pPr>
      <w:r>
        <w:lastRenderedPageBreak/>
        <w:t>Slide #3</w:t>
      </w:r>
      <w:r>
        <w:rPr>
          <w:noProof/>
        </w:rPr>
        <w:drawing>
          <wp:inline distT="0" distB="0" distL="0" distR="0" wp14:anchorId="1A76BA6C" wp14:editId="619CF68E">
            <wp:extent cx="5731510" cy="3201035"/>
            <wp:effectExtent l="0" t="0" r="2540" b="0"/>
            <wp:docPr id="3642880" name="Picture 3" descr="RIsk-aver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880" name="Picture 3" descr="RIsk-avers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444D" w14:textId="77777777" w:rsidR="002D61D4" w:rsidRDefault="002D61D4" w:rsidP="002D61D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D61D4">
        <w:rPr>
          <w:rFonts w:ascii="Open Sans" w:hAnsi="Open Sans" w:cs="Open Sans"/>
          <w:sz w:val="24"/>
          <w:szCs w:val="24"/>
        </w:rPr>
        <w:t xml:space="preserve">When in a risk averse fashion, a person's certainty equivalent value is less than the expected value of an uncertainty event. </w:t>
      </w:r>
    </w:p>
    <w:p w14:paraId="1179013A" w14:textId="77777777" w:rsidR="002D61D4" w:rsidRDefault="002D61D4" w:rsidP="002D61D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D61D4">
        <w:rPr>
          <w:rFonts w:ascii="Open Sans" w:hAnsi="Open Sans" w:cs="Open Sans"/>
          <w:sz w:val="24"/>
          <w:szCs w:val="24"/>
        </w:rPr>
        <w:t>A risk averse person prefers 50</w:t>
      </w:r>
      <w:r>
        <w:rPr>
          <w:rFonts w:ascii="Open Sans" w:hAnsi="Open Sans" w:cs="Open Sans"/>
          <w:sz w:val="24"/>
          <w:szCs w:val="24"/>
        </w:rPr>
        <w:t xml:space="preserve"> dollars</w:t>
      </w:r>
      <w:r w:rsidRPr="002D61D4">
        <w:rPr>
          <w:rFonts w:ascii="Open Sans" w:hAnsi="Open Sans" w:cs="Open Sans"/>
          <w:sz w:val="24"/>
          <w:szCs w:val="24"/>
        </w:rPr>
        <w:t xml:space="preserve"> certain to uncertain situations, 100 </w:t>
      </w:r>
      <w:r>
        <w:rPr>
          <w:rFonts w:ascii="Open Sans" w:hAnsi="Open Sans" w:cs="Open Sans"/>
          <w:sz w:val="24"/>
          <w:szCs w:val="24"/>
        </w:rPr>
        <w:t xml:space="preserve">dollars </w:t>
      </w:r>
      <w:r w:rsidRPr="002D61D4">
        <w:rPr>
          <w:rFonts w:ascii="Open Sans" w:hAnsi="Open Sans" w:cs="Open Sans"/>
          <w:sz w:val="24"/>
          <w:szCs w:val="24"/>
        </w:rPr>
        <w:t>at 50</w:t>
      </w:r>
      <w:r>
        <w:rPr>
          <w:rFonts w:ascii="Open Sans" w:hAnsi="Open Sans" w:cs="Open Sans"/>
          <w:sz w:val="24"/>
          <w:szCs w:val="24"/>
        </w:rPr>
        <w:t xml:space="preserve">% </w:t>
      </w:r>
      <w:r w:rsidRPr="002D61D4">
        <w:rPr>
          <w:rFonts w:ascii="Open Sans" w:hAnsi="Open Sans" w:cs="Open Sans"/>
          <w:sz w:val="24"/>
          <w:szCs w:val="24"/>
        </w:rPr>
        <w:t xml:space="preserve">and 0 </w:t>
      </w:r>
      <w:r>
        <w:rPr>
          <w:rFonts w:ascii="Open Sans" w:hAnsi="Open Sans" w:cs="Open Sans"/>
          <w:sz w:val="24"/>
          <w:szCs w:val="24"/>
        </w:rPr>
        <w:t xml:space="preserve">dollars </w:t>
      </w:r>
      <w:r w:rsidRPr="002D61D4">
        <w:rPr>
          <w:rFonts w:ascii="Open Sans" w:hAnsi="Open Sans" w:cs="Open Sans"/>
          <w:sz w:val="24"/>
          <w:szCs w:val="24"/>
        </w:rPr>
        <w:t xml:space="preserve">at 50%. </w:t>
      </w:r>
    </w:p>
    <w:p w14:paraId="1D6169C4" w14:textId="06925CB7" w:rsidR="002D61D4" w:rsidRPr="002D61D4" w:rsidRDefault="002D61D4" w:rsidP="002D61D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D61D4">
        <w:rPr>
          <w:rFonts w:ascii="Open Sans" w:hAnsi="Open Sans" w:cs="Open Sans"/>
          <w:sz w:val="24"/>
          <w:szCs w:val="24"/>
        </w:rPr>
        <w:t>Even though in those two scenarios, the expected values are the same, 50</w:t>
      </w:r>
      <w:r>
        <w:rPr>
          <w:rFonts w:ascii="Open Sans" w:hAnsi="Open Sans" w:cs="Open Sans"/>
          <w:sz w:val="24"/>
          <w:szCs w:val="24"/>
        </w:rPr>
        <w:t xml:space="preserve"> dollars</w:t>
      </w:r>
      <w:r w:rsidRPr="002D61D4">
        <w:rPr>
          <w:rFonts w:ascii="Open Sans" w:hAnsi="Open Sans" w:cs="Open Sans"/>
          <w:sz w:val="24"/>
          <w:szCs w:val="24"/>
        </w:rPr>
        <w:t xml:space="preserve">, the risk averse person prefers the 50 </w:t>
      </w:r>
      <w:r>
        <w:rPr>
          <w:rFonts w:ascii="Open Sans" w:hAnsi="Open Sans" w:cs="Open Sans"/>
          <w:sz w:val="24"/>
          <w:szCs w:val="24"/>
        </w:rPr>
        <w:t xml:space="preserve">dollars </w:t>
      </w:r>
      <w:r w:rsidRPr="002D61D4">
        <w:rPr>
          <w:rFonts w:ascii="Open Sans" w:hAnsi="Open Sans" w:cs="Open Sans"/>
          <w:sz w:val="24"/>
          <w:szCs w:val="24"/>
        </w:rPr>
        <w:t>certain.</w:t>
      </w:r>
    </w:p>
    <w:p w14:paraId="219F9531" w14:textId="77777777" w:rsidR="002D61D4" w:rsidRDefault="002D61D4" w:rsidP="002D61D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4F8797DC" w14:textId="1A8A83AB" w:rsidR="002D61D4" w:rsidRDefault="002D61D4" w:rsidP="002D61D4">
      <w:pPr>
        <w:pStyle w:val="Heading2"/>
        <w:spacing w:before="120" w:line="360" w:lineRule="auto"/>
      </w:pPr>
      <w:r>
        <w:lastRenderedPageBreak/>
        <w:t>Slide #4</w:t>
      </w:r>
      <w:r>
        <w:rPr>
          <w:noProof/>
        </w:rPr>
        <w:drawing>
          <wp:inline distT="0" distB="0" distL="0" distR="0" wp14:anchorId="63382BF8" wp14:editId="60A629C3">
            <wp:extent cx="5731510" cy="3201035"/>
            <wp:effectExtent l="0" t="0" r="2540" b="0"/>
            <wp:docPr id="1640404213" name="Picture 4" descr="Risk-aver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04213" name="Picture 4" descr="Risk-avers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08C4" w14:textId="77777777" w:rsidR="002D61D4" w:rsidRDefault="002D61D4" w:rsidP="002D61D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D61D4">
        <w:rPr>
          <w:rFonts w:ascii="Open Sans" w:hAnsi="Open Sans" w:cs="Open Sans"/>
          <w:sz w:val="24"/>
          <w:szCs w:val="24"/>
        </w:rPr>
        <w:t xml:space="preserve">Health and safety executives are fundamentally risk averse in their mandate. </w:t>
      </w:r>
    </w:p>
    <w:p w14:paraId="5E9C3FD8" w14:textId="77777777" w:rsidR="002D61D4" w:rsidRDefault="002D61D4" w:rsidP="002D61D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D61D4">
        <w:rPr>
          <w:rFonts w:ascii="Open Sans" w:hAnsi="Open Sans" w:cs="Open Sans"/>
          <w:sz w:val="24"/>
          <w:szCs w:val="24"/>
        </w:rPr>
        <w:t xml:space="preserve">This often means that they demand that risk be minimized at the cost of losing the utility of risky activity. </w:t>
      </w:r>
    </w:p>
    <w:p w14:paraId="0AB4648B" w14:textId="29312D1B" w:rsidR="002D61D4" w:rsidRPr="002D61D4" w:rsidRDefault="002D61D4" w:rsidP="002D61D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D61D4">
        <w:rPr>
          <w:rFonts w:ascii="Open Sans" w:hAnsi="Open Sans" w:cs="Open Sans"/>
          <w:sz w:val="24"/>
          <w:szCs w:val="24"/>
        </w:rPr>
        <w:t>Also, when you buy insurance, therefore reducing or eliminating your risk, you are behaving in a risk averse fashion.</w:t>
      </w:r>
    </w:p>
    <w:p w14:paraId="7B27B022" w14:textId="77777777" w:rsidR="002D61D4" w:rsidRDefault="002D61D4" w:rsidP="002D61D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70A2D2A4" w14:textId="578600F9" w:rsidR="002D61D4" w:rsidRDefault="002D61D4" w:rsidP="002D61D4">
      <w:pPr>
        <w:pStyle w:val="Heading2"/>
        <w:spacing w:before="120" w:line="360" w:lineRule="auto"/>
      </w:pPr>
      <w:r>
        <w:lastRenderedPageBreak/>
        <w:t>Slide #5</w:t>
      </w:r>
      <w:r>
        <w:rPr>
          <w:noProof/>
        </w:rPr>
        <w:drawing>
          <wp:inline distT="0" distB="0" distL="0" distR="0" wp14:anchorId="568FC14E" wp14:editId="218AB09D">
            <wp:extent cx="5731510" cy="3196590"/>
            <wp:effectExtent l="0" t="0" r="2540" b="3810"/>
            <wp:docPr id="1032248833" name="Picture 5" descr="Risk-neutral person is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48833" name="Picture 5" descr="Risk-neutral person is: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E976" w14:textId="77777777" w:rsidR="002D61D4" w:rsidRDefault="002D61D4" w:rsidP="002D61D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D61D4">
        <w:rPr>
          <w:rFonts w:ascii="Open Sans" w:hAnsi="Open Sans" w:cs="Open Sans"/>
          <w:sz w:val="24"/>
          <w:szCs w:val="24"/>
        </w:rPr>
        <w:t xml:space="preserve">A risk neutral investor is only concerned about the expected return of his investment. </w:t>
      </w:r>
    </w:p>
    <w:p w14:paraId="5CE5B420" w14:textId="77777777" w:rsidR="002D61D4" w:rsidRDefault="002D61D4" w:rsidP="002D61D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D61D4">
        <w:rPr>
          <w:rFonts w:ascii="Open Sans" w:hAnsi="Open Sans" w:cs="Open Sans"/>
          <w:sz w:val="24"/>
          <w:szCs w:val="24"/>
        </w:rPr>
        <w:t xml:space="preserve">They are indifferent to risks while making an investment decision. </w:t>
      </w:r>
    </w:p>
    <w:p w14:paraId="618608ED" w14:textId="77777777" w:rsidR="002D61D4" w:rsidRDefault="002D61D4" w:rsidP="002D61D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D61D4">
        <w:rPr>
          <w:rFonts w:ascii="Open Sans" w:hAnsi="Open Sans" w:cs="Open Sans"/>
          <w:sz w:val="24"/>
          <w:szCs w:val="24"/>
        </w:rPr>
        <w:t xml:space="preserve">A risk neutral person's decisions are not affected by the degree of uncertainty in the set of outcomes. </w:t>
      </w:r>
    </w:p>
    <w:p w14:paraId="639D7C78" w14:textId="733C0B2F" w:rsidR="002D61D4" w:rsidRPr="002D61D4" w:rsidRDefault="002D61D4" w:rsidP="002D61D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D61D4">
        <w:rPr>
          <w:rFonts w:ascii="Open Sans" w:hAnsi="Open Sans" w:cs="Open Sans"/>
          <w:sz w:val="24"/>
          <w:szCs w:val="24"/>
        </w:rPr>
        <w:t>What they are concerned with is the expected return.</w:t>
      </w:r>
    </w:p>
    <w:p w14:paraId="2BBCE076" w14:textId="77777777" w:rsidR="002D61D4" w:rsidRPr="002D61D4" w:rsidRDefault="002D61D4" w:rsidP="002D61D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D61D4">
        <w:rPr>
          <w:rFonts w:ascii="Open Sans" w:hAnsi="Open Sans" w:cs="Open Sans"/>
          <w:sz w:val="24"/>
          <w:szCs w:val="24"/>
        </w:rPr>
        <w:t>Risk neutral managers are expected value maximizers.</w:t>
      </w:r>
    </w:p>
    <w:p w14:paraId="5DA6BD6F" w14:textId="77777777" w:rsidR="002D61D4" w:rsidRDefault="002D61D4" w:rsidP="002D61D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7D3984AC" w14:textId="6121708B" w:rsidR="002D61D4" w:rsidRDefault="002D61D4" w:rsidP="002D61D4">
      <w:pPr>
        <w:pStyle w:val="Heading2"/>
        <w:spacing w:before="120" w:line="360" w:lineRule="auto"/>
      </w:pPr>
      <w:r>
        <w:lastRenderedPageBreak/>
        <w:t>Slide #6</w:t>
      </w:r>
      <w:r>
        <w:rPr>
          <w:noProof/>
        </w:rPr>
        <w:drawing>
          <wp:inline distT="0" distB="0" distL="0" distR="0" wp14:anchorId="5C37D614" wp14:editId="7109D704">
            <wp:extent cx="5731510" cy="3228340"/>
            <wp:effectExtent l="0" t="0" r="2540" b="0"/>
            <wp:docPr id="1023574979" name="Picture 6" descr="Risk-seeker, or risk-lover, has a preference for ris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74979" name="Picture 6" descr="Risk-seeker, or risk-lover, has a preference for risk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7776" w14:textId="77777777" w:rsidR="002D61D4" w:rsidRDefault="002D61D4" w:rsidP="002D61D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proofErr w:type="gramStart"/>
      <w:r w:rsidRPr="002D61D4">
        <w:rPr>
          <w:rFonts w:ascii="Open Sans" w:hAnsi="Open Sans" w:cs="Open Sans"/>
          <w:sz w:val="24"/>
          <w:szCs w:val="24"/>
        </w:rPr>
        <w:t>Risk</w:t>
      </w:r>
      <w:proofErr w:type="gramEnd"/>
      <w:r w:rsidRPr="002D61D4">
        <w:rPr>
          <w:rFonts w:ascii="Open Sans" w:hAnsi="Open Sans" w:cs="Open Sans"/>
          <w:sz w:val="24"/>
          <w:szCs w:val="24"/>
        </w:rPr>
        <w:t xml:space="preserve"> seeker or risk lover is person who </w:t>
      </w:r>
      <w:proofErr w:type="gramStart"/>
      <w:r w:rsidRPr="002D61D4">
        <w:rPr>
          <w:rFonts w:ascii="Open Sans" w:hAnsi="Open Sans" w:cs="Open Sans"/>
          <w:sz w:val="24"/>
          <w:szCs w:val="24"/>
        </w:rPr>
        <w:t>has a preference for</w:t>
      </w:r>
      <w:proofErr w:type="gramEnd"/>
      <w:r w:rsidRPr="002D61D4">
        <w:rPr>
          <w:rFonts w:ascii="Open Sans" w:hAnsi="Open Sans" w:cs="Open Sans"/>
          <w:sz w:val="24"/>
          <w:szCs w:val="24"/>
        </w:rPr>
        <w:t xml:space="preserve"> risk. </w:t>
      </w:r>
    </w:p>
    <w:p w14:paraId="4D426F39" w14:textId="77777777" w:rsidR="002D61D4" w:rsidRDefault="002D61D4" w:rsidP="002D61D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D61D4">
        <w:rPr>
          <w:rFonts w:ascii="Open Sans" w:hAnsi="Open Sans" w:cs="Open Sans"/>
          <w:sz w:val="24"/>
          <w:szCs w:val="24"/>
        </w:rPr>
        <w:t xml:space="preserve">Risk lovers are willing to take on additional risk for an investment that has relatively low expected return. </w:t>
      </w:r>
    </w:p>
    <w:p w14:paraId="61E987DC" w14:textId="261D390C" w:rsidR="002D61D4" w:rsidRPr="002D61D4" w:rsidRDefault="002D61D4" w:rsidP="002D61D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D61D4">
        <w:rPr>
          <w:rFonts w:ascii="Open Sans" w:hAnsi="Open Sans" w:cs="Open Sans"/>
          <w:sz w:val="24"/>
          <w:szCs w:val="24"/>
        </w:rPr>
        <w:t xml:space="preserve">When in risk loving fashion, a person's certainty equivalent value is greater than the expected value of an uncertain event, there is always a risk return trade off </w:t>
      </w:r>
      <w:r w:rsidRPr="002D61D4">
        <w:rPr>
          <w:rFonts w:ascii="Open Sans" w:hAnsi="Open Sans" w:cs="Open Sans"/>
          <w:sz w:val="24"/>
          <w:szCs w:val="24"/>
        </w:rPr>
        <w:t>in</w:t>
      </w:r>
      <w:r w:rsidRPr="002D61D4">
        <w:rPr>
          <w:rFonts w:ascii="Open Sans" w:hAnsi="Open Sans" w:cs="Open Sans"/>
          <w:sz w:val="24"/>
          <w:szCs w:val="24"/>
        </w:rPr>
        <w:t xml:space="preserve"> investing, lower returns are usually associated with lower risk investments.</w:t>
      </w:r>
    </w:p>
    <w:p w14:paraId="22D2480C" w14:textId="77777777" w:rsidR="002D61D4" w:rsidRDefault="002D61D4" w:rsidP="002D61D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D61D4">
        <w:rPr>
          <w:rFonts w:ascii="Open Sans" w:hAnsi="Open Sans" w:cs="Open Sans"/>
          <w:sz w:val="24"/>
          <w:szCs w:val="24"/>
        </w:rPr>
        <w:t xml:space="preserve">Higher potential returns are associated with investments of higher risk, as most investors expect to be compensated for taking on additional risk. </w:t>
      </w:r>
    </w:p>
    <w:p w14:paraId="6692F722" w14:textId="77777777" w:rsidR="002D61D4" w:rsidRDefault="002D61D4" w:rsidP="002D61D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D61D4">
        <w:rPr>
          <w:rFonts w:ascii="Open Sans" w:hAnsi="Open Sans" w:cs="Open Sans"/>
          <w:sz w:val="24"/>
          <w:szCs w:val="24"/>
        </w:rPr>
        <w:t xml:space="preserve">Risk lovers go against this principle. </w:t>
      </w:r>
    </w:p>
    <w:p w14:paraId="7CA2B619" w14:textId="7822B552" w:rsidR="002D61D4" w:rsidRDefault="002D61D4" w:rsidP="002D61D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D61D4">
        <w:rPr>
          <w:rFonts w:ascii="Open Sans" w:hAnsi="Open Sans" w:cs="Open Sans"/>
          <w:sz w:val="24"/>
          <w:szCs w:val="24"/>
        </w:rPr>
        <w:t>They acquire investment of higher risk with a lower expected return.</w:t>
      </w:r>
    </w:p>
    <w:p w14:paraId="782D0BC4" w14:textId="7C950760" w:rsidR="002D61D4" w:rsidRDefault="002D61D4" w:rsidP="002D61D4">
      <w:pPr>
        <w:pStyle w:val="Heading2"/>
        <w:spacing w:before="120" w:line="360" w:lineRule="auto"/>
      </w:pPr>
      <w:r>
        <w:lastRenderedPageBreak/>
        <w:t>Slide #7</w:t>
      </w:r>
      <w:r>
        <w:rPr>
          <w:noProof/>
        </w:rPr>
        <w:drawing>
          <wp:inline distT="0" distB="0" distL="0" distR="0" wp14:anchorId="2096B055" wp14:editId="2F1FC65E">
            <wp:extent cx="5731510" cy="3183255"/>
            <wp:effectExtent l="0" t="0" r="2540" b="0"/>
            <wp:docPr id="660925599" name="Picture 7" descr="Risk tolerance behavi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25599" name="Picture 7" descr="Risk tolerance behavior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E930" w14:textId="18994823" w:rsidR="001E3DB8" w:rsidRPr="002D61D4" w:rsidRDefault="00000000" w:rsidP="002D61D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D61D4">
        <w:rPr>
          <w:rFonts w:ascii="Open Sans" w:hAnsi="Open Sans" w:cs="Open Sans"/>
          <w:sz w:val="24"/>
          <w:szCs w:val="24"/>
        </w:rPr>
        <w:t>This table summarizes the three risk tolerance behaviors presented by business managers.</w:t>
      </w:r>
    </w:p>
    <w:sectPr w:rsidR="001E3DB8" w:rsidRPr="002D61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295D61"/>
    <w:multiLevelType w:val="hybridMultilevel"/>
    <w:tmpl w:val="4D2882E4"/>
    <w:lvl w:ilvl="0" w:tplc="043A916C">
      <w:start w:val="1"/>
      <w:numFmt w:val="bullet"/>
      <w:lvlText w:val="●"/>
      <w:lvlJc w:val="left"/>
      <w:pPr>
        <w:ind w:left="720" w:hanging="360"/>
      </w:pPr>
    </w:lvl>
    <w:lvl w:ilvl="1" w:tplc="764248E6">
      <w:start w:val="1"/>
      <w:numFmt w:val="bullet"/>
      <w:lvlText w:val="○"/>
      <w:lvlJc w:val="left"/>
      <w:pPr>
        <w:ind w:left="1440" w:hanging="360"/>
      </w:pPr>
    </w:lvl>
    <w:lvl w:ilvl="2" w:tplc="24A2CD86">
      <w:start w:val="1"/>
      <w:numFmt w:val="bullet"/>
      <w:lvlText w:val="■"/>
      <w:lvlJc w:val="left"/>
      <w:pPr>
        <w:ind w:left="2160" w:hanging="360"/>
      </w:pPr>
    </w:lvl>
    <w:lvl w:ilvl="3" w:tplc="43663428">
      <w:start w:val="1"/>
      <w:numFmt w:val="bullet"/>
      <w:lvlText w:val="●"/>
      <w:lvlJc w:val="left"/>
      <w:pPr>
        <w:ind w:left="2880" w:hanging="360"/>
      </w:pPr>
    </w:lvl>
    <w:lvl w:ilvl="4" w:tplc="47CAA67A">
      <w:start w:val="1"/>
      <w:numFmt w:val="bullet"/>
      <w:lvlText w:val="○"/>
      <w:lvlJc w:val="left"/>
      <w:pPr>
        <w:ind w:left="3600" w:hanging="360"/>
      </w:pPr>
    </w:lvl>
    <w:lvl w:ilvl="5" w:tplc="33A81902">
      <w:start w:val="1"/>
      <w:numFmt w:val="bullet"/>
      <w:lvlText w:val="■"/>
      <w:lvlJc w:val="left"/>
      <w:pPr>
        <w:ind w:left="4320" w:hanging="360"/>
      </w:pPr>
    </w:lvl>
    <w:lvl w:ilvl="6" w:tplc="E50462B6">
      <w:start w:val="1"/>
      <w:numFmt w:val="bullet"/>
      <w:lvlText w:val="●"/>
      <w:lvlJc w:val="left"/>
      <w:pPr>
        <w:ind w:left="5040" w:hanging="360"/>
      </w:pPr>
    </w:lvl>
    <w:lvl w:ilvl="7" w:tplc="6862D2E6">
      <w:start w:val="1"/>
      <w:numFmt w:val="bullet"/>
      <w:lvlText w:val="●"/>
      <w:lvlJc w:val="left"/>
      <w:pPr>
        <w:ind w:left="5760" w:hanging="360"/>
      </w:pPr>
    </w:lvl>
    <w:lvl w:ilvl="8" w:tplc="6972CDAC">
      <w:start w:val="1"/>
      <w:numFmt w:val="bullet"/>
      <w:lvlText w:val="●"/>
      <w:lvlJc w:val="left"/>
      <w:pPr>
        <w:ind w:left="6480" w:hanging="360"/>
      </w:pPr>
    </w:lvl>
  </w:abstractNum>
  <w:num w:numId="1" w16cid:durableId="399450856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3DB8"/>
    <w:rsid w:val="001E3DB8"/>
    <w:rsid w:val="002D61D4"/>
    <w:rsid w:val="005D5914"/>
    <w:rsid w:val="008B726C"/>
    <w:rsid w:val="00C91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B1C33"/>
  <w15:docId w15:val="{259F64B7-5BDB-4D7D-B62B-3DC5539A5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uiPriority w:val="9"/>
    <w:qFormat/>
    <w:rsid w:val="002D61D4"/>
    <w:pPr>
      <w:spacing w:before="120" w:after="260"/>
      <w:jc w:val="center"/>
      <w:outlineLvl w:val="0"/>
    </w:pPr>
    <w:rPr>
      <w:rFonts w:ascii="Open Sans" w:hAnsi="Open Sans"/>
      <w:b/>
      <w:bCs/>
      <w:sz w:val="36"/>
      <w:szCs w:val="48"/>
    </w:rPr>
  </w:style>
  <w:style w:type="paragraph" w:styleId="Heading2">
    <w:name w:val="heading 2"/>
    <w:uiPriority w:val="9"/>
    <w:unhideWhenUsed/>
    <w:qFormat/>
    <w:rsid w:val="002D61D4"/>
    <w:pPr>
      <w:outlineLvl w:val="1"/>
    </w:pPr>
    <w:rPr>
      <w:rFonts w:ascii="Open Sans" w:hAnsi="Open Sans"/>
      <w:b/>
      <w:i/>
      <w:color w:val="000000" w:themeColor="text1"/>
      <w:sz w:val="24"/>
      <w:szCs w:val="26"/>
    </w:rPr>
  </w:style>
  <w:style w:type="paragraph" w:styleId="Heading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Heading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Heading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Heading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uiPriority w:val="10"/>
    <w:qFormat/>
    <w:pPr>
      <w:spacing w:after="260"/>
    </w:pPr>
    <w:rPr>
      <w:b/>
      <w:bCs/>
      <w:sz w:val="56"/>
      <w:szCs w:val="56"/>
    </w:rPr>
  </w:style>
  <w:style w:type="paragraph" w:customStyle="1" w:styleId="Strong1">
    <w:name w:val="Strong1"/>
    <w:qFormat/>
    <w:rPr>
      <w:b/>
      <w:bCs/>
    </w:rPr>
  </w:style>
  <w:style w:type="paragraph" w:styleId="ListParagraph">
    <w:name w:val="List Paragraph"/>
    <w:qFormat/>
  </w:style>
  <w:style w:type="character" w:styleId="Hyperlink">
    <w:name w:val="Hyperlink"/>
    <w:uiPriority w:val="99"/>
    <w:unhideWhenUsed/>
    <w:rPr>
      <w:color w:val="0563C1"/>
      <w:u w:val="single"/>
    </w:rPr>
  </w:style>
  <w:style w:type="character" w:styleId="FootnoteReference">
    <w:name w:val="footnote reference"/>
    <w:uiPriority w:val="99"/>
    <w:semiHidden/>
    <w:unhideWhenUsed/>
    <w:rPr>
      <w:vertAlign w:val="superscript"/>
    </w:rPr>
  </w:style>
  <w:style w:type="paragraph" w:styleId="FootnoteText">
    <w:name w:val="footnote text"/>
    <w:link w:val="FootnoteTextChar"/>
    <w:uiPriority w:val="99"/>
    <w:semiHidden/>
    <w:unhideWhenUsed/>
  </w:style>
  <w:style w:type="character" w:customStyle="1" w:styleId="FootnoteTextChar">
    <w:name w:val="Footnote Text Char"/>
    <w:link w:val="FootnoteText"/>
    <w:uiPriority w:val="99"/>
    <w:semiHidden/>
    <w:unhideWhenUsed/>
    <w:rPr>
      <w:sz w:val="20"/>
      <w:szCs w:val="20"/>
    </w:rPr>
  </w:style>
  <w:style w:type="paragraph" w:customStyle="1" w:styleId="Script">
    <w:name w:val="Script"/>
    <w:pPr>
      <w:spacing w:after="360"/>
    </w:pPr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406</Words>
  <Characters>2316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TCMT_612_M4T074_Risk-tolerance</vt:lpstr>
    </vt:vector>
  </TitlesOfParts>
  <Company/>
  <LinksUpToDate>false</LinksUpToDate>
  <CharactersWithSpaces>2717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Risk Tolerance</dc:title>
  <dc:creator>Un-named</dc:creator>
  <cp:lastModifiedBy>Williams, Elisabeth G</cp:lastModifiedBy>
  <cp:revision>2</cp:revision>
  <cp:lastPrinted>2024-07-29T18:22:00Z</cp:lastPrinted>
  <dcterms:created xsi:type="dcterms:W3CDTF">2024-07-29T18:22:00Z</dcterms:created>
  <dcterms:modified xsi:type="dcterms:W3CDTF">2024-07-29T18:22:00Z</dcterms:modified>
</cp:coreProperties>
</file>