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CE99F78" w14:textId="79FD3C66" w:rsidR="00093FAB" w:rsidRDefault="00000000" w:rsidP="006D3F78">
      <w:pPr>
        <w:pStyle w:val="Heading1"/>
        <w:spacing w:after="0" w:line="360" w:lineRule="auto"/>
      </w:pPr>
      <w:r>
        <w:t>M5L18</w:t>
      </w:r>
      <w:r w:rsidR="006D3F78">
        <w:t>.</w:t>
      </w:r>
      <w:r>
        <w:t xml:space="preserve"> Ford </w:t>
      </w:r>
      <w:r w:rsidR="008143B1">
        <w:t xml:space="preserve">Motor Company </w:t>
      </w:r>
      <w:r>
        <w:t xml:space="preserve">First </w:t>
      </w:r>
      <w:r w:rsidR="008143B1">
        <w:t>M</w:t>
      </w:r>
      <w:r>
        <w:t>over and Fast Follower</w:t>
      </w:r>
    </w:p>
    <w:p w14:paraId="34E6A945" w14:textId="77777777" w:rsidR="006D3F78" w:rsidRDefault="006D3F78" w:rsidP="006D3F78">
      <w:pPr>
        <w:pStyle w:val="Script"/>
        <w:spacing w:before="120" w:after="0" w:line="360" w:lineRule="auto"/>
        <w:rPr>
          <w:rFonts w:ascii="Open Sans" w:hAnsi="Open Sans" w:cs="Open Sans"/>
          <w:sz w:val="24"/>
          <w:szCs w:val="24"/>
        </w:rPr>
      </w:pPr>
    </w:p>
    <w:p w14:paraId="4DEF3EB6" w14:textId="47E3EC0A" w:rsidR="006D3F78" w:rsidRDefault="006D3F78" w:rsidP="006D3F78">
      <w:pPr>
        <w:pStyle w:val="Heading2"/>
        <w:spacing w:before="120" w:line="360" w:lineRule="auto"/>
      </w:pPr>
      <w:r>
        <w:t>Slide #1</w:t>
      </w:r>
      <w:r w:rsidRPr="006D3F78">
        <w:drawing>
          <wp:inline distT="0" distB="0" distL="0" distR="0" wp14:anchorId="5EBB1AB0" wp14:editId="7402D41B">
            <wp:extent cx="5731510" cy="3231515"/>
            <wp:effectExtent l="0" t="0" r="2540" b="6985"/>
            <wp:docPr id="2072208535" name="Picture 1" descr="Ford Motor Company First Mover and Fast Fol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08535" name="Picture 1" descr="Ford Motor Company First Mover and Fast Follower"/>
                    <pic:cNvPicPr/>
                  </pic:nvPicPr>
                  <pic:blipFill>
                    <a:blip r:embed="rId5"/>
                    <a:stretch>
                      <a:fillRect/>
                    </a:stretch>
                  </pic:blipFill>
                  <pic:spPr>
                    <a:xfrm>
                      <a:off x="0" y="0"/>
                      <a:ext cx="5731510" cy="3231515"/>
                    </a:xfrm>
                    <a:prstGeom prst="rect">
                      <a:avLst/>
                    </a:prstGeom>
                  </pic:spPr>
                </pic:pic>
              </a:graphicData>
            </a:graphic>
          </wp:inline>
        </w:drawing>
      </w:r>
    </w:p>
    <w:p w14:paraId="1F91BBF2" w14:textId="77777777" w:rsidR="008143B1"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 xml:space="preserve">A company can adopt both a first mover approach and a fast follower strategy for different products and in separate markets to develop competitive positions. </w:t>
      </w:r>
    </w:p>
    <w:p w14:paraId="624DFFF9" w14:textId="2E0C0E6A" w:rsidR="006D3F78"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We will use Ford Motor Company as an example to explain how strategic decisions work.</w:t>
      </w:r>
    </w:p>
    <w:p w14:paraId="74278D1D" w14:textId="575DE0BF" w:rsidR="006D3F78" w:rsidRDefault="006D3F78" w:rsidP="006D3F78">
      <w:pPr>
        <w:pStyle w:val="Heading2"/>
        <w:spacing w:before="120" w:line="360" w:lineRule="auto"/>
      </w:pPr>
      <w:r>
        <w:lastRenderedPageBreak/>
        <w:t>Slide #2</w:t>
      </w:r>
      <w:r w:rsidRPr="006D3F78">
        <w:drawing>
          <wp:inline distT="0" distB="0" distL="0" distR="0" wp14:anchorId="7A7EE472" wp14:editId="79C5CC15">
            <wp:extent cx="5731510" cy="3209290"/>
            <wp:effectExtent l="0" t="0" r="2540" b="0"/>
            <wp:docPr id="2033312382" name="Picture 1" descr="Competitive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12382" name="Picture 1" descr="Competitive Advantages"/>
                    <pic:cNvPicPr/>
                  </pic:nvPicPr>
                  <pic:blipFill>
                    <a:blip r:embed="rId6"/>
                    <a:stretch>
                      <a:fillRect/>
                    </a:stretch>
                  </pic:blipFill>
                  <pic:spPr>
                    <a:xfrm>
                      <a:off x="0" y="0"/>
                      <a:ext cx="5731510" cy="3209290"/>
                    </a:xfrm>
                    <a:prstGeom prst="rect">
                      <a:avLst/>
                    </a:prstGeom>
                  </pic:spPr>
                </pic:pic>
              </a:graphicData>
            </a:graphic>
          </wp:inline>
        </w:drawing>
      </w:r>
    </w:p>
    <w:p w14:paraId="28C7BC72" w14:textId="45ABC0D9" w:rsidR="008143B1"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Ford Motor was the market pioneer of the mass production method of automobiles, and over the past several decades, the company has progressively evolved to create first mover advantages and fast follower competitive strengths</w:t>
      </w:r>
      <w:r w:rsidR="008143B1">
        <w:rPr>
          <w:rFonts w:ascii="Open Sans" w:hAnsi="Open Sans" w:cs="Open Sans"/>
          <w:sz w:val="24"/>
          <w:szCs w:val="24"/>
        </w:rPr>
        <w:t>, p</w:t>
      </w:r>
      <w:r w:rsidRPr="006D3F78">
        <w:rPr>
          <w:rFonts w:ascii="Open Sans" w:hAnsi="Open Sans" w:cs="Open Sans"/>
          <w:sz w:val="24"/>
          <w:szCs w:val="24"/>
        </w:rPr>
        <w:t xml:space="preserve">articularly because the auto giant has multiple products and several brands in global markets. </w:t>
      </w:r>
    </w:p>
    <w:p w14:paraId="53433A71" w14:textId="34E3F8AC" w:rsidR="006D3F78"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The company has created different market positions for different products.</w:t>
      </w:r>
    </w:p>
    <w:p w14:paraId="54363081" w14:textId="35E56659" w:rsidR="006D3F78" w:rsidRDefault="006D3F78" w:rsidP="006D3F78">
      <w:pPr>
        <w:pStyle w:val="Heading2"/>
        <w:spacing w:before="120" w:line="360" w:lineRule="auto"/>
      </w:pPr>
      <w:r>
        <w:lastRenderedPageBreak/>
        <w:t>Slide #3</w:t>
      </w:r>
      <w:r w:rsidRPr="006D3F78">
        <w:drawing>
          <wp:inline distT="0" distB="0" distL="0" distR="0" wp14:anchorId="47458A46" wp14:editId="6CDA2F81">
            <wp:extent cx="5731510" cy="3223895"/>
            <wp:effectExtent l="0" t="0" r="2540" b="0"/>
            <wp:docPr id="71926815" name="Picture 1" descr="First M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6815" name="Picture 1" descr="First Mover"/>
                    <pic:cNvPicPr/>
                  </pic:nvPicPr>
                  <pic:blipFill>
                    <a:blip r:embed="rId7"/>
                    <a:stretch>
                      <a:fillRect/>
                    </a:stretch>
                  </pic:blipFill>
                  <pic:spPr>
                    <a:xfrm>
                      <a:off x="0" y="0"/>
                      <a:ext cx="5731510" cy="3223895"/>
                    </a:xfrm>
                    <a:prstGeom prst="rect">
                      <a:avLst/>
                    </a:prstGeom>
                  </pic:spPr>
                </pic:pic>
              </a:graphicData>
            </a:graphic>
          </wp:inline>
        </w:drawing>
      </w:r>
    </w:p>
    <w:p w14:paraId="39123E9C" w14:textId="77777777" w:rsidR="006D3F78"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Ford takes a first mover approach to maintain its competitive advantage in its commercial vehicle business and the pickup business, which generate greater profits and brand value than the smaller vehicles business.</w:t>
      </w:r>
    </w:p>
    <w:p w14:paraId="74FC1780" w14:textId="77777777" w:rsidR="008143B1" w:rsidRPr="006D3F78" w:rsidRDefault="008143B1" w:rsidP="006D3F78">
      <w:pPr>
        <w:pStyle w:val="Script"/>
        <w:spacing w:before="120" w:after="0" w:line="360" w:lineRule="auto"/>
        <w:rPr>
          <w:rFonts w:ascii="Open Sans" w:hAnsi="Open Sans" w:cs="Open Sans"/>
          <w:sz w:val="24"/>
          <w:szCs w:val="24"/>
        </w:rPr>
      </w:pPr>
    </w:p>
    <w:p w14:paraId="78624696" w14:textId="77777777" w:rsidR="006D3F78" w:rsidRDefault="006D3F78" w:rsidP="006D3F78">
      <w:pPr>
        <w:pStyle w:val="Script"/>
        <w:spacing w:before="120" w:after="0" w:line="360" w:lineRule="auto"/>
        <w:rPr>
          <w:rFonts w:ascii="Open Sans" w:hAnsi="Open Sans" w:cs="Open Sans"/>
          <w:sz w:val="24"/>
          <w:szCs w:val="24"/>
        </w:rPr>
      </w:pPr>
    </w:p>
    <w:p w14:paraId="04351213" w14:textId="38D2EEED" w:rsidR="006D3F78" w:rsidRDefault="006D3F78" w:rsidP="006D3F78">
      <w:pPr>
        <w:pStyle w:val="Heading2"/>
        <w:spacing w:before="120" w:line="360" w:lineRule="auto"/>
      </w:pPr>
      <w:r>
        <w:lastRenderedPageBreak/>
        <w:t>Slide #4</w:t>
      </w:r>
      <w:r w:rsidRPr="006D3F78">
        <w:drawing>
          <wp:inline distT="0" distB="0" distL="0" distR="0" wp14:anchorId="41CEA59D" wp14:editId="76CDA819">
            <wp:extent cx="5731510" cy="3218815"/>
            <wp:effectExtent l="0" t="0" r="2540" b="635"/>
            <wp:docPr id="65491477" name="Picture 1" descr="First Mover Advantage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1477" name="Picture 1" descr="First Mover Advantage Examples"/>
                    <pic:cNvPicPr/>
                  </pic:nvPicPr>
                  <pic:blipFill>
                    <a:blip r:embed="rId8"/>
                    <a:stretch>
                      <a:fillRect/>
                    </a:stretch>
                  </pic:blipFill>
                  <pic:spPr>
                    <a:xfrm>
                      <a:off x="0" y="0"/>
                      <a:ext cx="5731510" cy="3218815"/>
                    </a:xfrm>
                    <a:prstGeom prst="rect">
                      <a:avLst/>
                    </a:prstGeom>
                  </pic:spPr>
                </pic:pic>
              </a:graphicData>
            </a:graphic>
          </wp:inline>
        </w:drawing>
      </w:r>
    </w:p>
    <w:p w14:paraId="5E0E4B5C" w14:textId="77777777" w:rsidR="008143B1"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For example, the Ford F</w:t>
      </w:r>
      <w:r w:rsidR="008143B1">
        <w:rPr>
          <w:rFonts w:ascii="Open Sans" w:hAnsi="Open Sans" w:cs="Open Sans"/>
          <w:sz w:val="24"/>
          <w:szCs w:val="24"/>
        </w:rPr>
        <w:t>-</w:t>
      </w:r>
      <w:r w:rsidRPr="006D3F78">
        <w:rPr>
          <w:rFonts w:ascii="Open Sans" w:hAnsi="Open Sans" w:cs="Open Sans"/>
          <w:sz w:val="24"/>
          <w:szCs w:val="24"/>
        </w:rPr>
        <w:t>Series pickup</w:t>
      </w:r>
      <w:r w:rsidR="008143B1">
        <w:rPr>
          <w:rFonts w:ascii="Open Sans" w:hAnsi="Open Sans" w:cs="Open Sans"/>
          <w:sz w:val="24"/>
          <w:szCs w:val="24"/>
        </w:rPr>
        <w:t xml:space="preserve"> r</w:t>
      </w:r>
      <w:r w:rsidRPr="006D3F78">
        <w:rPr>
          <w:rFonts w:ascii="Open Sans" w:hAnsi="Open Sans" w:cs="Open Sans"/>
          <w:sz w:val="24"/>
          <w:szCs w:val="24"/>
        </w:rPr>
        <w:t>emains the most respected commercial truck available on the U</w:t>
      </w:r>
      <w:r w:rsidR="008143B1">
        <w:rPr>
          <w:rFonts w:ascii="Open Sans" w:hAnsi="Open Sans" w:cs="Open Sans"/>
          <w:sz w:val="24"/>
          <w:szCs w:val="24"/>
        </w:rPr>
        <w:t>.</w:t>
      </w:r>
      <w:r w:rsidRPr="006D3F78">
        <w:rPr>
          <w:rFonts w:ascii="Open Sans" w:hAnsi="Open Sans" w:cs="Open Sans"/>
          <w:sz w:val="24"/>
          <w:szCs w:val="24"/>
        </w:rPr>
        <w:t>S</w:t>
      </w:r>
      <w:r w:rsidR="008143B1">
        <w:rPr>
          <w:rFonts w:ascii="Open Sans" w:hAnsi="Open Sans" w:cs="Open Sans"/>
          <w:sz w:val="24"/>
          <w:szCs w:val="24"/>
        </w:rPr>
        <w:t>.</w:t>
      </w:r>
      <w:r w:rsidRPr="006D3F78">
        <w:rPr>
          <w:rFonts w:ascii="Open Sans" w:hAnsi="Open Sans" w:cs="Open Sans"/>
          <w:sz w:val="24"/>
          <w:szCs w:val="24"/>
        </w:rPr>
        <w:t xml:space="preserve"> market and across the world. </w:t>
      </w:r>
    </w:p>
    <w:p w14:paraId="57D684D5" w14:textId="77777777" w:rsidR="008143B1"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The company introduced the Ford F</w:t>
      </w:r>
      <w:r w:rsidR="008143B1">
        <w:rPr>
          <w:rFonts w:ascii="Open Sans" w:hAnsi="Open Sans" w:cs="Open Sans"/>
          <w:sz w:val="24"/>
          <w:szCs w:val="24"/>
        </w:rPr>
        <w:t>-1</w:t>
      </w:r>
      <w:r w:rsidRPr="006D3F78">
        <w:rPr>
          <w:rFonts w:ascii="Open Sans" w:hAnsi="Open Sans" w:cs="Open Sans"/>
          <w:sz w:val="24"/>
          <w:szCs w:val="24"/>
        </w:rPr>
        <w:t xml:space="preserve">50 </w:t>
      </w:r>
      <w:r w:rsidR="008143B1">
        <w:rPr>
          <w:rFonts w:ascii="Open Sans" w:hAnsi="Open Sans" w:cs="Open Sans"/>
          <w:sz w:val="24"/>
          <w:szCs w:val="24"/>
        </w:rPr>
        <w:t>L</w:t>
      </w:r>
      <w:r w:rsidRPr="006D3F78">
        <w:rPr>
          <w:rFonts w:ascii="Open Sans" w:hAnsi="Open Sans" w:cs="Open Sans"/>
          <w:sz w:val="24"/>
          <w:szCs w:val="24"/>
        </w:rPr>
        <w:t xml:space="preserve">ightning </w:t>
      </w:r>
      <w:r w:rsidR="008143B1">
        <w:rPr>
          <w:rFonts w:ascii="Open Sans" w:hAnsi="Open Sans" w:cs="Open Sans"/>
          <w:sz w:val="24"/>
          <w:szCs w:val="24"/>
        </w:rPr>
        <w:t>P</w:t>
      </w:r>
      <w:r w:rsidRPr="006D3F78">
        <w:rPr>
          <w:rFonts w:ascii="Open Sans" w:hAnsi="Open Sans" w:cs="Open Sans"/>
          <w:sz w:val="24"/>
          <w:szCs w:val="24"/>
        </w:rPr>
        <w:t>ro</w:t>
      </w:r>
      <w:r w:rsidR="008143B1">
        <w:rPr>
          <w:rFonts w:ascii="Open Sans" w:hAnsi="Open Sans" w:cs="Open Sans"/>
          <w:sz w:val="24"/>
          <w:szCs w:val="24"/>
        </w:rPr>
        <w:t>,</w:t>
      </w:r>
      <w:r w:rsidRPr="006D3F78">
        <w:rPr>
          <w:rFonts w:ascii="Open Sans" w:hAnsi="Open Sans" w:cs="Open Sans"/>
          <w:sz w:val="24"/>
          <w:szCs w:val="24"/>
        </w:rPr>
        <w:t xml:space="preserve"> the first </w:t>
      </w:r>
      <w:r w:rsidR="008143B1" w:rsidRPr="006D3F78">
        <w:rPr>
          <w:rFonts w:ascii="Open Sans" w:hAnsi="Open Sans" w:cs="Open Sans"/>
          <w:sz w:val="24"/>
          <w:szCs w:val="24"/>
        </w:rPr>
        <w:t>all-electric</w:t>
      </w:r>
      <w:r w:rsidRPr="006D3F78">
        <w:rPr>
          <w:rFonts w:ascii="Open Sans" w:hAnsi="Open Sans" w:cs="Open Sans"/>
          <w:sz w:val="24"/>
          <w:szCs w:val="24"/>
        </w:rPr>
        <w:t xml:space="preserve"> pickup</w:t>
      </w:r>
      <w:r w:rsidR="008143B1">
        <w:rPr>
          <w:rFonts w:ascii="Open Sans" w:hAnsi="Open Sans" w:cs="Open Sans"/>
          <w:sz w:val="24"/>
          <w:szCs w:val="24"/>
        </w:rPr>
        <w:t>,</w:t>
      </w:r>
      <w:r w:rsidRPr="006D3F78">
        <w:rPr>
          <w:rFonts w:ascii="Open Sans" w:hAnsi="Open Sans" w:cs="Open Sans"/>
          <w:sz w:val="24"/>
          <w:szCs w:val="24"/>
        </w:rPr>
        <w:t xml:space="preserve"> in 2023 ahead of Tesla and other automakers. </w:t>
      </w:r>
    </w:p>
    <w:p w14:paraId="29245A81" w14:textId="762460B9" w:rsidR="006D3F78" w:rsidRPr="006D3F78"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The company is also launching its first electric commercial van, the E</w:t>
      </w:r>
      <w:r w:rsidR="008143B1">
        <w:rPr>
          <w:rFonts w:ascii="Open Sans" w:hAnsi="Open Sans" w:cs="Open Sans"/>
          <w:sz w:val="24"/>
          <w:szCs w:val="24"/>
        </w:rPr>
        <w:t>-</w:t>
      </w:r>
      <w:r w:rsidRPr="006D3F78">
        <w:rPr>
          <w:rFonts w:ascii="Open Sans" w:hAnsi="Open Sans" w:cs="Open Sans"/>
          <w:sz w:val="24"/>
          <w:szCs w:val="24"/>
        </w:rPr>
        <w:t>transit in 2024.</w:t>
      </w:r>
    </w:p>
    <w:p w14:paraId="41010C00" w14:textId="77777777" w:rsidR="008143B1"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 xml:space="preserve">Ford was the first automaker to reach a tentative agreement with the United auto workers on October 25, 2023. </w:t>
      </w:r>
    </w:p>
    <w:p w14:paraId="1888E421" w14:textId="77777777" w:rsidR="008143B1"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 xml:space="preserve">The agreement ended the union's strike against the automaker, marking a crucial step toward resolving a nationwide work stoppage that continued against two other Detroit automakers. </w:t>
      </w:r>
    </w:p>
    <w:p w14:paraId="72B0C2A7" w14:textId="60362727" w:rsidR="006D3F78" w:rsidRPr="006D3F78" w:rsidRDefault="006D3F78" w:rsidP="006D3F78">
      <w:pPr>
        <w:pStyle w:val="Script"/>
        <w:spacing w:before="120" w:after="0" w:line="360" w:lineRule="auto"/>
        <w:rPr>
          <w:rFonts w:ascii="Open Sans" w:hAnsi="Open Sans" w:cs="Open Sans"/>
          <w:sz w:val="24"/>
          <w:szCs w:val="24"/>
        </w:rPr>
      </w:pPr>
      <w:proofErr w:type="spellStart"/>
      <w:r w:rsidRPr="006D3F78">
        <w:rPr>
          <w:rFonts w:ascii="Open Sans" w:hAnsi="Open Sans" w:cs="Open Sans"/>
          <w:sz w:val="24"/>
          <w:szCs w:val="24"/>
        </w:rPr>
        <w:t>Stellantis</w:t>
      </w:r>
      <w:proofErr w:type="spellEnd"/>
      <w:r w:rsidRPr="006D3F78">
        <w:rPr>
          <w:rFonts w:ascii="Open Sans" w:hAnsi="Open Sans" w:cs="Open Sans"/>
          <w:sz w:val="24"/>
          <w:szCs w:val="24"/>
        </w:rPr>
        <w:t xml:space="preserve"> and GM followed Ford's approach and reached agreements with the union soon after Ford's.</w:t>
      </w:r>
    </w:p>
    <w:p w14:paraId="04D07B47" w14:textId="77777777" w:rsidR="006D3F78" w:rsidRDefault="006D3F78" w:rsidP="006D3F78">
      <w:pPr>
        <w:pStyle w:val="Script"/>
        <w:spacing w:before="120" w:after="0" w:line="360" w:lineRule="auto"/>
        <w:rPr>
          <w:rFonts w:ascii="Open Sans" w:hAnsi="Open Sans" w:cs="Open Sans"/>
          <w:sz w:val="24"/>
          <w:szCs w:val="24"/>
        </w:rPr>
      </w:pPr>
    </w:p>
    <w:p w14:paraId="639BF879" w14:textId="6B9AA202" w:rsidR="006D3F78" w:rsidRDefault="006D3F78" w:rsidP="006D3F78">
      <w:pPr>
        <w:pStyle w:val="Heading2"/>
        <w:spacing w:before="120" w:line="360" w:lineRule="auto"/>
      </w:pPr>
      <w:r>
        <w:lastRenderedPageBreak/>
        <w:t>Slide #5</w:t>
      </w:r>
      <w:r w:rsidRPr="006D3F78">
        <w:drawing>
          <wp:inline distT="0" distB="0" distL="0" distR="0" wp14:anchorId="232B1CB6" wp14:editId="141D2BC4">
            <wp:extent cx="5731510" cy="3208020"/>
            <wp:effectExtent l="0" t="0" r="2540" b="0"/>
            <wp:docPr id="2049215918" name="Picture 1" descr="Fast Fol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15918" name="Picture 1" descr="Fast Follower"/>
                    <pic:cNvPicPr/>
                  </pic:nvPicPr>
                  <pic:blipFill>
                    <a:blip r:embed="rId9"/>
                    <a:stretch>
                      <a:fillRect/>
                    </a:stretch>
                  </pic:blipFill>
                  <pic:spPr>
                    <a:xfrm>
                      <a:off x="0" y="0"/>
                      <a:ext cx="5731510" cy="3208020"/>
                    </a:xfrm>
                    <a:prstGeom prst="rect">
                      <a:avLst/>
                    </a:prstGeom>
                  </pic:spPr>
                </pic:pic>
              </a:graphicData>
            </a:graphic>
          </wp:inline>
        </w:drawing>
      </w:r>
    </w:p>
    <w:p w14:paraId="60517CD2" w14:textId="3D037DAE" w:rsidR="006D3F78"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However, Ford takes a fast follower approach to developing competitive strength for its smaller vehicles, which typically yield lower profit margins.</w:t>
      </w:r>
    </w:p>
    <w:p w14:paraId="7F13D90E" w14:textId="77777777" w:rsidR="008143B1" w:rsidRDefault="008143B1" w:rsidP="006D3F78">
      <w:pPr>
        <w:pStyle w:val="Script"/>
        <w:spacing w:before="120" w:after="0" w:line="360" w:lineRule="auto"/>
        <w:rPr>
          <w:rFonts w:ascii="Open Sans" w:hAnsi="Open Sans" w:cs="Open Sans"/>
          <w:sz w:val="24"/>
          <w:szCs w:val="24"/>
        </w:rPr>
      </w:pPr>
    </w:p>
    <w:p w14:paraId="7FEC7775" w14:textId="77777777" w:rsidR="008143B1" w:rsidRDefault="008143B1" w:rsidP="006D3F78">
      <w:pPr>
        <w:pStyle w:val="Script"/>
        <w:spacing w:before="120" w:after="0" w:line="360" w:lineRule="auto"/>
        <w:rPr>
          <w:rFonts w:ascii="Open Sans" w:hAnsi="Open Sans" w:cs="Open Sans"/>
          <w:sz w:val="24"/>
          <w:szCs w:val="24"/>
        </w:rPr>
      </w:pPr>
    </w:p>
    <w:p w14:paraId="5EE01B7D" w14:textId="77777777" w:rsidR="006D3F78" w:rsidRDefault="006D3F78" w:rsidP="006D3F78">
      <w:pPr>
        <w:pStyle w:val="Script"/>
        <w:spacing w:before="120" w:after="0" w:line="360" w:lineRule="auto"/>
        <w:rPr>
          <w:rFonts w:ascii="Open Sans" w:hAnsi="Open Sans" w:cs="Open Sans"/>
          <w:sz w:val="24"/>
          <w:szCs w:val="24"/>
        </w:rPr>
      </w:pPr>
    </w:p>
    <w:p w14:paraId="27FAB21F" w14:textId="63F86C56" w:rsidR="006D3F78" w:rsidRDefault="006D3F78" w:rsidP="006D3F78">
      <w:pPr>
        <w:pStyle w:val="Heading2"/>
        <w:spacing w:before="120" w:line="360" w:lineRule="auto"/>
      </w:pPr>
      <w:r>
        <w:lastRenderedPageBreak/>
        <w:t>Slide #6</w:t>
      </w:r>
      <w:r w:rsidRPr="006D3F78">
        <w:drawing>
          <wp:inline distT="0" distB="0" distL="0" distR="0" wp14:anchorId="0B2FB178" wp14:editId="4CD2A03C">
            <wp:extent cx="5731510" cy="3216275"/>
            <wp:effectExtent l="0" t="0" r="2540" b="3175"/>
            <wp:docPr id="671146129" name="Picture 1" descr="Fast Follower Streng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46129" name="Picture 1" descr="Fast Follower Strength Examples"/>
                    <pic:cNvPicPr/>
                  </pic:nvPicPr>
                  <pic:blipFill>
                    <a:blip r:embed="rId10"/>
                    <a:stretch>
                      <a:fillRect/>
                    </a:stretch>
                  </pic:blipFill>
                  <pic:spPr>
                    <a:xfrm>
                      <a:off x="0" y="0"/>
                      <a:ext cx="5731510" cy="3216275"/>
                    </a:xfrm>
                    <a:prstGeom prst="rect">
                      <a:avLst/>
                    </a:prstGeom>
                  </pic:spPr>
                </pic:pic>
              </a:graphicData>
            </a:graphic>
          </wp:inline>
        </w:drawing>
      </w:r>
    </w:p>
    <w:p w14:paraId="49C5F628" w14:textId="77777777" w:rsidR="008143B1"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 xml:space="preserve">For example, Ford worked with technology partners to introduce the Ford Pro software system, a productivity accelerator for fleet operators. </w:t>
      </w:r>
    </w:p>
    <w:p w14:paraId="7BE70722" w14:textId="2DAFBBD7" w:rsidR="006D3F78" w:rsidRPr="006D3F78"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The Ford Affordable Electric Vehicles project is being led by Alan Clark, who oversaw the engineering of Tesla Model Y before moving to Ford.</w:t>
      </w:r>
    </w:p>
    <w:p w14:paraId="51B54CED" w14:textId="69098B20" w:rsidR="006D3F78" w:rsidRDefault="006D3F78"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The company is also releasing small electric crossover models in Europe this year that wear the Explorer name and ride on the same Volkswagen platform.</w:t>
      </w:r>
    </w:p>
    <w:p w14:paraId="5CCC02F5" w14:textId="7D731596" w:rsidR="006D3F78" w:rsidRDefault="006D3F78" w:rsidP="006D3F78">
      <w:pPr>
        <w:pStyle w:val="Heading2"/>
        <w:spacing w:before="120" w:line="360" w:lineRule="auto"/>
      </w:pPr>
      <w:r>
        <w:lastRenderedPageBreak/>
        <w:t>Slide #7</w:t>
      </w:r>
      <w:r w:rsidRPr="006D3F78">
        <w:drawing>
          <wp:inline distT="0" distB="0" distL="0" distR="0" wp14:anchorId="50FF8B2D" wp14:editId="5241145A">
            <wp:extent cx="5731510" cy="3215005"/>
            <wp:effectExtent l="0" t="0" r="2540" b="4445"/>
            <wp:docPr id="473219652" name="Picture 1" descr="Strategic Approach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19652" name="Picture 1" descr="Strategic Approach Summary"/>
                    <pic:cNvPicPr/>
                  </pic:nvPicPr>
                  <pic:blipFill>
                    <a:blip r:embed="rId11"/>
                    <a:stretch>
                      <a:fillRect/>
                    </a:stretch>
                  </pic:blipFill>
                  <pic:spPr>
                    <a:xfrm>
                      <a:off x="0" y="0"/>
                      <a:ext cx="5731510" cy="3215005"/>
                    </a:xfrm>
                    <a:prstGeom prst="rect">
                      <a:avLst/>
                    </a:prstGeom>
                  </pic:spPr>
                </pic:pic>
              </a:graphicData>
            </a:graphic>
          </wp:inline>
        </w:drawing>
      </w:r>
    </w:p>
    <w:p w14:paraId="3851A855" w14:textId="57F064A0" w:rsidR="00093FAB" w:rsidRPr="006D3F78" w:rsidRDefault="00000000"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 xml:space="preserve">In summary, it is common for a global company </w:t>
      </w:r>
      <w:r w:rsidR="008143B1" w:rsidRPr="006D3F78">
        <w:rPr>
          <w:rFonts w:ascii="Open Sans" w:hAnsi="Open Sans" w:cs="Open Sans"/>
          <w:sz w:val="24"/>
          <w:szCs w:val="24"/>
        </w:rPr>
        <w:t>to</w:t>
      </w:r>
      <w:r w:rsidRPr="006D3F78">
        <w:rPr>
          <w:rFonts w:ascii="Open Sans" w:hAnsi="Open Sans" w:cs="Open Sans"/>
          <w:sz w:val="24"/>
          <w:szCs w:val="24"/>
        </w:rPr>
        <w:t xml:space="preserve"> take different strategic approaches to developing strong competitive advantages over its competitors in the market.</w:t>
      </w:r>
    </w:p>
    <w:p w14:paraId="2FB39774" w14:textId="77777777" w:rsidR="00093FAB" w:rsidRPr="006D3F78" w:rsidRDefault="00000000" w:rsidP="006D3F78">
      <w:pPr>
        <w:pStyle w:val="Script"/>
        <w:spacing w:before="120" w:after="0" w:line="360" w:lineRule="auto"/>
        <w:rPr>
          <w:rFonts w:ascii="Open Sans" w:hAnsi="Open Sans" w:cs="Open Sans"/>
          <w:sz w:val="24"/>
          <w:szCs w:val="24"/>
        </w:rPr>
      </w:pPr>
      <w:r w:rsidRPr="006D3F78">
        <w:rPr>
          <w:rFonts w:ascii="Open Sans" w:hAnsi="Open Sans" w:cs="Open Sans"/>
          <w:sz w:val="24"/>
          <w:szCs w:val="24"/>
        </w:rPr>
        <w:t>Just like Ford Motor, which takes a combined first mover and fast follower approach for different vehicles and in separate markets.</w:t>
      </w:r>
    </w:p>
    <w:sectPr w:rsidR="00093FAB" w:rsidRPr="006D3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8D1CED"/>
    <w:multiLevelType w:val="hybridMultilevel"/>
    <w:tmpl w:val="B4BC3E0A"/>
    <w:lvl w:ilvl="0" w:tplc="5DC6D782">
      <w:start w:val="1"/>
      <w:numFmt w:val="bullet"/>
      <w:lvlText w:val="●"/>
      <w:lvlJc w:val="left"/>
      <w:pPr>
        <w:ind w:left="720" w:hanging="360"/>
      </w:pPr>
    </w:lvl>
    <w:lvl w:ilvl="1" w:tplc="2870C608">
      <w:start w:val="1"/>
      <w:numFmt w:val="bullet"/>
      <w:lvlText w:val="○"/>
      <w:lvlJc w:val="left"/>
      <w:pPr>
        <w:ind w:left="1440" w:hanging="360"/>
      </w:pPr>
    </w:lvl>
    <w:lvl w:ilvl="2" w:tplc="B37E99A2">
      <w:start w:val="1"/>
      <w:numFmt w:val="bullet"/>
      <w:lvlText w:val="■"/>
      <w:lvlJc w:val="left"/>
      <w:pPr>
        <w:ind w:left="2160" w:hanging="360"/>
      </w:pPr>
    </w:lvl>
    <w:lvl w:ilvl="3" w:tplc="69B24706">
      <w:start w:val="1"/>
      <w:numFmt w:val="bullet"/>
      <w:lvlText w:val="●"/>
      <w:lvlJc w:val="left"/>
      <w:pPr>
        <w:ind w:left="2880" w:hanging="360"/>
      </w:pPr>
    </w:lvl>
    <w:lvl w:ilvl="4" w:tplc="2D3265F2">
      <w:start w:val="1"/>
      <w:numFmt w:val="bullet"/>
      <w:lvlText w:val="○"/>
      <w:lvlJc w:val="left"/>
      <w:pPr>
        <w:ind w:left="3600" w:hanging="360"/>
      </w:pPr>
    </w:lvl>
    <w:lvl w:ilvl="5" w:tplc="6938F46C">
      <w:start w:val="1"/>
      <w:numFmt w:val="bullet"/>
      <w:lvlText w:val="■"/>
      <w:lvlJc w:val="left"/>
      <w:pPr>
        <w:ind w:left="4320" w:hanging="360"/>
      </w:pPr>
    </w:lvl>
    <w:lvl w:ilvl="6" w:tplc="9CBA272A">
      <w:start w:val="1"/>
      <w:numFmt w:val="bullet"/>
      <w:lvlText w:val="●"/>
      <w:lvlJc w:val="left"/>
      <w:pPr>
        <w:ind w:left="5040" w:hanging="360"/>
      </w:pPr>
    </w:lvl>
    <w:lvl w:ilvl="7" w:tplc="C57E0082">
      <w:start w:val="1"/>
      <w:numFmt w:val="bullet"/>
      <w:lvlText w:val="●"/>
      <w:lvlJc w:val="left"/>
      <w:pPr>
        <w:ind w:left="5760" w:hanging="360"/>
      </w:pPr>
    </w:lvl>
    <w:lvl w:ilvl="8" w:tplc="C3B45022">
      <w:start w:val="1"/>
      <w:numFmt w:val="bullet"/>
      <w:lvlText w:val="●"/>
      <w:lvlJc w:val="left"/>
      <w:pPr>
        <w:ind w:left="6480" w:hanging="360"/>
      </w:pPr>
    </w:lvl>
  </w:abstractNum>
  <w:num w:numId="1" w16cid:durableId="204433048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FAB"/>
    <w:rsid w:val="00093FAB"/>
    <w:rsid w:val="006D3F78"/>
    <w:rsid w:val="008143B1"/>
    <w:rsid w:val="00B5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CB186"/>
  <w15:docId w15:val="{171F0B09-3F8D-4AD7-BCB1-AE22558B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6D3F78"/>
    <w:pPr>
      <w:spacing w:before="120" w:after="260"/>
      <w:jc w:val="center"/>
      <w:outlineLvl w:val="0"/>
    </w:pPr>
    <w:rPr>
      <w:rFonts w:ascii="Open Sans" w:hAnsi="Open Sans"/>
      <w:b/>
      <w:bCs/>
      <w:sz w:val="36"/>
      <w:szCs w:val="48"/>
    </w:rPr>
  </w:style>
  <w:style w:type="paragraph" w:styleId="Heading2">
    <w:name w:val="heading 2"/>
    <w:uiPriority w:val="9"/>
    <w:unhideWhenUsed/>
    <w:qFormat/>
    <w:rsid w:val="006D3F78"/>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391</Words>
  <Characters>2230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M5L18 - Ford First mover and Fast Follower advantage</vt:lpstr>
    </vt:vector>
  </TitlesOfParts>
  <Company/>
  <LinksUpToDate>false</LinksUpToDate>
  <CharactersWithSpaces>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Ford Motor Company First Mover and Fast Follower</dc:title>
  <dc:creator>Un-named</dc:creator>
  <cp:lastModifiedBy>Williams, Elisabeth G</cp:lastModifiedBy>
  <cp:revision>2</cp:revision>
  <cp:lastPrinted>2024-08-08T16:59:00Z</cp:lastPrinted>
  <dcterms:created xsi:type="dcterms:W3CDTF">2024-08-08T16:59:00Z</dcterms:created>
  <dcterms:modified xsi:type="dcterms:W3CDTF">2024-08-08T16:59:00Z</dcterms:modified>
</cp:coreProperties>
</file>