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AB09367" w14:textId="3E81744B" w:rsidR="00DF6575" w:rsidRDefault="00000000" w:rsidP="001F1CD2">
      <w:pPr>
        <w:pStyle w:val="Heading1"/>
        <w:spacing w:after="0" w:line="360" w:lineRule="auto"/>
      </w:pPr>
      <w:r>
        <w:t>M5L27</w:t>
      </w:r>
      <w:r w:rsidR="00BC11E0">
        <w:t>.</w:t>
      </w:r>
      <w:r>
        <w:t xml:space="preserve"> Strategy </w:t>
      </w:r>
      <w:r w:rsidR="00C614F0">
        <w:t>M</w:t>
      </w:r>
      <w:r>
        <w:t xml:space="preserve">odule </w:t>
      </w:r>
      <w:r w:rsidR="00C614F0">
        <w:t>S</w:t>
      </w:r>
      <w:r>
        <w:t>ummary</w:t>
      </w:r>
    </w:p>
    <w:p w14:paraId="12F31DCA" w14:textId="77777777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A914A58" w14:textId="2AC4A7F9" w:rsidR="001F1CD2" w:rsidRDefault="001F1CD2" w:rsidP="001F1CD2">
      <w:pPr>
        <w:pStyle w:val="Heading2"/>
        <w:spacing w:before="120" w:line="360" w:lineRule="auto"/>
      </w:pPr>
      <w:r>
        <w:t>Slide #1</w:t>
      </w:r>
      <w:r w:rsidRPr="001F1CD2">
        <w:rPr>
          <w:noProof/>
        </w:rPr>
        <w:drawing>
          <wp:inline distT="0" distB="0" distL="0" distR="0" wp14:anchorId="60ABA44D" wp14:editId="2C3598AB">
            <wp:extent cx="5731510" cy="3237230"/>
            <wp:effectExtent l="0" t="0" r="2540" b="1270"/>
            <wp:docPr id="700995862" name="Picture 1" descr="Strategy Module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5862" name="Picture 1" descr="Strategy Module Summar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FC9A" w14:textId="0E36F4F0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>Now we will summarize the strategy module.</w:t>
      </w:r>
    </w:p>
    <w:p w14:paraId="1AD1D5E8" w14:textId="77777777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08B3672" w14:textId="1A326E99" w:rsidR="001F1CD2" w:rsidRDefault="001F1CD2" w:rsidP="001F1CD2">
      <w:pPr>
        <w:pStyle w:val="Heading2"/>
        <w:spacing w:before="120" w:line="360" w:lineRule="auto"/>
      </w:pPr>
      <w:r>
        <w:lastRenderedPageBreak/>
        <w:t>Slide #2</w:t>
      </w:r>
      <w:r w:rsidRPr="001F1CD2">
        <w:rPr>
          <w:noProof/>
        </w:rPr>
        <w:drawing>
          <wp:inline distT="0" distB="0" distL="0" distR="0" wp14:anchorId="2E4F8007" wp14:editId="142B9BC5">
            <wp:extent cx="5731510" cy="3225165"/>
            <wp:effectExtent l="0" t="0" r="2540" b="0"/>
            <wp:docPr id="184461288" name="Picture 1" descr="#1 Porter's Five Forces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288" name="Picture 1" descr="#1 Porter's Five Forces Analys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D26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First, we discussed Porter's </w:t>
      </w:r>
      <w:r w:rsidR="00C614F0">
        <w:rPr>
          <w:rFonts w:ascii="Open Sans" w:hAnsi="Open Sans" w:cs="Open Sans"/>
          <w:sz w:val="24"/>
          <w:szCs w:val="24"/>
        </w:rPr>
        <w:t>F</w:t>
      </w:r>
      <w:r w:rsidRPr="001F1CD2">
        <w:rPr>
          <w:rFonts w:ascii="Open Sans" w:hAnsi="Open Sans" w:cs="Open Sans"/>
          <w:sz w:val="24"/>
          <w:szCs w:val="24"/>
        </w:rPr>
        <w:t xml:space="preserve">ive </w:t>
      </w:r>
      <w:r w:rsidR="00C614F0">
        <w:rPr>
          <w:rFonts w:ascii="Open Sans" w:hAnsi="Open Sans" w:cs="Open Sans"/>
          <w:sz w:val="24"/>
          <w:szCs w:val="24"/>
        </w:rPr>
        <w:t>F</w:t>
      </w:r>
      <w:r w:rsidRPr="001F1CD2">
        <w:rPr>
          <w:rFonts w:ascii="Open Sans" w:hAnsi="Open Sans" w:cs="Open Sans"/>
          <w:sz w:val="24"/>
          <w:szCs w:val="24"/>
        </w:rPr>
        <w:t xml:space="preserve">orces </w:t>
      </w:r>
      <w:r w:rsidR="00C614F0">
        <w:rPr>
          <w:rFonts w:ascii="Open Sans" w:hAnsi="Open Sans" w:cs="Open Sans"/>
          <w:sz w:val="24"/>
          <w:szCs w:val="24"/>
        </w:rPr>
        <w:t>A</w:t>
      </w:r>
      <w:r w:rsidRPr="001F1CD2">
        <w:rPr>
          <w:rFonts w:ascii="Open Sans" w:hAnsi="Open Sans" w:cs="Open Sans"/>
          <w:sz w:val="24"/>
          <w:szCs w:val="24"/>
        </w:rPr>
        <w:t xml:space="preserve">nalysis to assess the profitability of an industry. </w:t>
      </w:r>
    </w:p>
    <w:p w14:paraId="1FC3E1F6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>We can look at the profitability of an industry from five perspectives</w:t>
      </w:r>
      <w:r w:rsidR="00C614F0">
        <w:rPr>
          <w:rFonts w:ascii="Open Sans" w:hAnsi="Open Sans" w:cs="Open Sans"/>
          <w:sz w:val="24"/>
          <w:szCs w:val="24"/>
        </w:rPr>
        <w:t>:</w:t>
      </w:r>
      <w:r w:rsidRPr="001F1CD2">
        <w:rPr>
          <w:rFonts w:ascii="Open Sans" w:hAnsi="Open Sans" w:cs="Open Sans"/>
          <w:sz w:val="24"/>
          <w:szCs w:val="24"/>
        </w:rPr>
        <w:t xml:space="preserve"> </w:t>
      </w:r>
    </w:p>
    <w:p w14:paraId="45AD9B2C" w14:textId="77777777" w:rsidR="00C614F0" w:rsidRDefault="00C614F0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i</w:t>
      </w:r>
      <w:r w:rsidR="001F1CD2" w:rsidRPr="001F1CD2">
        <w:rPr>
          <w:rFonts w:ascii="Open Sans" w:hAnsi="Open Sans" w:cs="Open Sans"/>
          <w:sz w:val="24"/>
          <w:szCs w:val="24"/>
        </w:rPr>
        <w:t xml:space="preserve">nternal rivalry, </w:t>
      </w:r>
    </w:p>
    <w:p w14:paraId="5BF956B7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barrier to new entrant, </w:t>
      </w:r>
    </w:p>
    <w:p w14:paraId="6C82DFDE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threat of substitute product, </w:t>
      </w:r>
    </w:p>
    <w:p w14:paraId="08592BE6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the bargaining power of suppliers, </w:t>
      </w:r>
    </w:p>
    <w:p w14:paraId="26EF1124" w14:textId="73D33305" w:rsidR="001F1CD2" w:rsidRP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>and the bargaining power of buyers.</w:t>
      </w:r>
    </w:p>
    <w:p w14:paraId="3C1624C2" w14:textId="77777777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0B207EA" w14:textId="1CCCDA6F" w:rsidR="001F1CD2" w:rsidRDefault="001F1CD2" w:rsidP="001F1CD2">
      <w:pPr>
        <w:pStyle w:val="Heading2"/>
        <w:spacing w:before="120" w:line="360" w:lineRule="auto"/>
      </w:pPr>
      <w:r>
        <w:lastRenderedPageBreak/>
        <w:t>Slide #3</w:t>
      </w:r>
      <w:r w:rsidRPr="001F1CD2">
        <w:rPr>
          <w:noProof/>
        </w:rPr>
        <w:drawing>
          <wp:inline distT="0" distB="0" distL="0" distR="0" wp14:anchorId="7CD8CB06" wp14:editId="23E1E2E6">
            <wp:extent cx="5731510" cy="3188335"/>
            <wp:effectExtent l="0" t="0" r="2540" b="0"/>
            <wp:docPr id="1753222819" name="Picture 1" descr="#2 Competitive Advan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22819" name="Picture 1" descr="#2 Competitive Advantag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243F" w14:textId="77777777" w:rsidR="00C614F0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After that, we described competitive advantage that a company can create, particularly for technology companies. </w:t>
      </w:r>
    </w:p>
    <w:p w14:paraId="1606E171" w14:textId="5FF5CB61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>First mover advantage versus fast follower advantage are the two choices that a company needs to make when thinking about the timing of bringing their product to market.</w:t>
      </w:r>
    </w:p>
    <w:p w14:paraId="5D56EA9E" w14:textId="45CE770A" w:rsidR="001F1CD2" w:rsidRDefault="001F1CD2" w:rsidP="001F1CD2">
      <w:pPr>
        <w:pStyle w:val="Heading2"/>
        <w:spacing w:before="120" w:line="360" w:lineRule="auto"/>
      </w:pPr>
      <w:r>
        <w:lastRenderedPageBreak/>
        <w:t>Slide #4</w:t>
      </w:r>
      <w:r w:rsidRPr="001F1CD2">
        <w:rPr>
          <w:noProof/>
        </w:rPr>
        <w:drawing>
          <wp:inline distT="0" distB="0" distL="0" distR="0" wp14:anchorId="513A9224" wp14:editId="290AE938">
            <wp:extent cx="5731510" cy="3214370"/>
            <wp:effectExtent l="0" t="0" r="2540" b="5080"/>
            <wp:docPr id="627169748" name="Picture 1" descr="#4 Align Portfolio Decisions with Business Objec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69748" name="Picture 1" descr="#4 Align Portfolio Decisions with Business Objective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506" w14:textId="5BC6117B" w:rsidR="001F1CD2" w:rsidRP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 xml:space="preserve">At the end, we illustrated how to align portfolio decisions with business objectives, how to define and design a portfolio management system, the objectives, the waiting system, and the review process to align portfolio decisions with the </w:t>
      </w:r>
      <w:r w:rsidR="00C614F0" w:rsidRPr="001F1CD2">
        <w:rPr>
          <w:rFonts w:ascii="Open Sans" w:hAnsi="Open Sans" w:cs="Open Sans"/>
          <w:sz w:val="24"/>
          <w:szCs w:val="24"/>
        </w:rPr>
        <w:t>long-term</w:t>
      </w:r>
      <w:r w:rsidRPr="001F1CD2">
        <w:rPr>
          <w:rFonts w:ascii="Open Sans" w:hAnsi="Open Sans" w:cs="Open Sans"/>
          <w:sz w:val="24"/>
          <w:szCs w:val="24"/>
        </w:rPr>
        <w:t xml:space="preserve"> objectives of our company.</w:t>
      </w:r>
    </w:p>
    <w:p w14:paraId="56C0C1F6" w14:textId="77777777" w:rsidR="001F1CD2" w:rsidRDefault="001F1CD2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77EEE4C" w14:textId="3D50B2BB" w:rsidR="001F1CD2" w:rsidRDefault="001F1CD2" w:rsidP="001F1CD2">
      <w:pPr>
        <w:pStyle w:val="Heading2"/>
        <w:spacing w:before="120" w:line="360" w:lineRule="auto"/>
      </w:pPr>
      <w:r>
        <w:lastRenderedPageBreak/>
        <w:t>Slide #5</w:t>
      </w:r>
      <w:r w:rsidRPr="001F1CD2">
        <w:rPr>
          <w:noProof/>
        </w:rPr>
        <w:drawing>
          <wp:inline distT="0" distB="0" distL="0" distR="0" wp14:anchorId="192E7214" wp14:editId="46A711A3">
            <wp:extent cx="5731510" cy="3204845"/>
            <wp:effectExtent l="0" t="0" r="2540" b="0"/>
            <wp:docPr id="1597995849" name="Picture 1" descr="Next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5849" name="Picture 1" descr="Next Modu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6180" w14:textId="77777777" w:rsidR="00DF6575" w:rsidRPr="001F1CD2" w:rsidRDefault="00000000" w:rsidP="001F1CD2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1CD2">
        <w:rPr>
          <w:rFonts w:ascii="Open Sans" w:hAnsi="Open Sans" w:cs="Open Sans"/>
          <w:sz w:val="24"/>
          <w:szCs w:val="24"/>
        </w:rPr>
        <w:t>In the next module, we will discuss performance management and how we measure the performance of a business.</w:t>
      </w:r>
    </w:p>
    <w:sectPr w:rsidR="00DF6575" w:rsidRPr="001F1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7D08DE"/>
    <w:multiLevelType w:val="hybridMultilevel"/>
    <w:tmpl w:val="B02E8136"/>
    <w:lvl w:ilvl="0" w:tplc="7B1EA4D6">
      <w:start w:val="1"/>
      <w:numFmt w:val="bullet"/>
      <w:lvlText w:val="●"/>
      <w:lvlJc w:val="left"/>
      <w:pPr>
        <w:ind w:left="720" w:hanging="360"/>
      </w:pPr>
    </w:lvl>
    <w:lvl w:ilvl="1" w:tplc="2D4658EE">
      <w:start w:val="1"/>
      <w:numFmt w:val="bullet"/>
      <w:lvlText w:val="○"/>
      <w:lvlJc w:val="left"/>
      <w:pPr>
        <w:ind w:left="1440" w:hanging="360"/>
      </w:pPr>
    </w:lvl>
    <w:lvl w:ilvl="2" w:tplc="0FCC7D58">
      <w:start w:val="1"/>
      <w:numFmt w:val="bullet"/>
      <w:lvlText w:val="■"/>
      <w:lvlJc w:val="left"/>
      <w:pPr>
        <w:ind w:left="2160" w:hanging="360"/>
      </w:pPr>
    </w:lvl>
    <w:lvl w:ilvl="3" w:tplc="18F823B6">
      <w:start w:val="1"/>
      <w:numFmt w:val="bullet"/>
      <w:lvlText w:val="●"/>
      <w:lvlJc w:val="left"/>
      <w:pPr>
        <w:ind w:left="2880" w:hanging="360"/>
      </w:pPr>
    </w:lvl>
    <w:lvl w:ilvl="4" w:tplc="5C92D4E0">
      <w:start w:val="1"/>
      <w:numFmt w:val="bullet"/>
      <w:lvlText w:val="○"/>
      <w:lvlJc w:val="left"/>
      <w:pPr>
        <w:ind w:left="3600" w:hanging="360"/>
      </w:pPr>
    </w:lvl>
    <w:lvl w:ilvl="5" w:tplc="27FE917C">
      <w:start w:val="1"/>
      <w:numFmt w:val="bullet"/>
      <w:lvlText w:val="■"/>
      <w:lvlJc w:val="left"/>
      <w:pPr>
        <w:ind w:left="4320" w:hanging="360"/>
      </w:pPr>
    </w:lvl>
    <w:lvl w:ilvl="6" w:tplc="ED706EC0">
      <w:start w:val="1"/>
      <w:numFmt w:val="bullet"/>
      <w:lvlText w:val="●"/>
      <w:lvlJc w:val="left"/>
      <w:pPr>
        <w:ind w:left="5040" w:hanging="360"/>
      </w:pPr>
    </w:lvl>
    <w:lvl w:ilvl="7" w:tplc="37F646A2">
      <w:start w:val="1"/>
      <w:numFmt w:val="bullet"/>
      <w:lvlText w:val="●"/>
      <w:lvlJc w:val="left"/>
      <w:pPr>
        <w:ind w:left="5760" w:hanging="360"/>
      </w:pPr>
    </w:lvl>
    <w:lvl w:ilvl="8" w:tplc="12A6C034">
      <w:start w:val="1"/>
      <w:numFmt w:val="bullet"/>
      <w:lvlText w:val="●"/>
      <w:lvlJc w:val="left"/>
      <w:pPr>
        <w:ind w:left="6480" w:hanging="360"/>
      </w:pPr>
    </w:lvl>
  </w:abstractNum>
  <w:num w:numId="1" w16cid:durableId="137523307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575"/>
    <w:rsid w:val="001F1CD2"/>
    <w:rsid w:val="00BC11E0"/>
    <w:rsid w:val="00C14A90"/>
    <w:rsid w:val="00C614F0"/>
    <w:rsid w:val="00DF6575"/>
    <w:rsid w:val="00E4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0EDA0"/>
  <w15:docId w15:val="{43CAA9C3-266F-42CA-829D-DE1A005F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1F1CD2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1F1CD2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M5L27 - Strategy module summary</vt:lpstr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Strategy Module Summary</dc:title>
  <dc:creator>Un-named</dc:creator>
  <cp:lastModifiedBy>Williams, Elisabeth G</cp:lastModifiedBy>
  <cp:revision>2</cp:revision>
  <cp:lastPrinted>2024-08-08T20:28:00Z</cp:lastPrinted>
  <dcterms:created xsi:type="dcterms:W3CDTF">2024-08-08T20:28:00Z</dcterms:created>
  <dcterms:modified xsi:type="dcterms:W3CDTF">2024-08-08T20:28:00Z</dcterms:modified>
</cp:coreProperties>
</file>