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811088F" w14:textId="412D7912" w:rsidR="007B3121" w:rsidRDefault="00000000" w:rsidP="00AF3684">
      <w:pPr>
        <w:pStyle w:val="Heading1"/>
        <w:spacing w:after="0" w:line="360" w:lineRule="auto"/>
      </w:pPr>
      <w:r>
        <w:t>M6L6b</w:t>
      </w:r>
      <w:r w:rsidR="00AF3684">
        <w:t>.</w:t>
      </w:r>
      <w:r>
        <w:t xml:space="preserve"> Seasonal </w:t>
      </w:r>
      <w:r w:rsidR="00AF3684">
        <w:t>A</w:t>
      </w:r>
      <w:r>
        <w:t>nalysis</w:t>
      </w:r>
    </w:p>
    <w:p w14:paraId="4161DCA4" w14:textId="77777777" w:rsidR="00AF3684" w:rsidRDefault="00AF3684" w:rsidP="00AF3684">
      <w:pPr>
        <w:pStyle w:val="Script"/>
        <w:spacing w:before="120" w:after="0" w:line="360" w:lineRule="auto"/>
        <w:rPr>
          <w:rFonts w:ascii="Open Sans" w:hAnsi="Open Sans" w:cs="Open Sans"/>
          <w:sz w:val="24"/>
          <w:szCs w:val="24"/>
        </w:rPr>
      </w:pPr>
    </w:p>
    <w:p w14:paraId="3C3F90E9" w14:textId="6AF6CFCC" w:rsidR="00AF3684" w:rsidRDefault="00AF3684" w:rsidP="00AF3684">
      <w:pPr>
        <w:pStyle w:val="Heading2"/>
        <w:spacing w:before="120" w:line="360" w:lineRule="auto"/>
      </w:pPr>
      <w:r>
        <w:t>Slide #1</w:t>
      </w:r>
      <w:r w:rsidRPr="00AF3684">
        <w:drawing>
          <wp:inline distT="0" distB="0" distL="0" distR="0" wp14:anchorId="791B94B5" wp14:editId="400DA1EC">
            <wp:extent cx="5731510" cy="3250565"/>
            <wp:effectExtent l="0" t="0" r="2540" b="6985"/>
            <wp:docPr id="899535743" name="Picture 1" descr="Seasonal Analysis (Par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35743" name="Picture 1" descr="Seasonal Analysis (Part b)"/>
                    <pic:cNvPicPr/>
                  </pic:nvPicPr>
                  <pic:blipFill>
                    <a:blip r:embed="rId5"/>
                    <a:stretch>
                      <a:fillRect/>
                    </a:stretch>
                  </pic:blipFill>
                  <pic:spPr>
                    <a:xfrm>
                      <a:off x="0" y="0"/>
                      <a:ext cx="5731510" cy="3250565"/>
                    </a:xfrm>
                    <a:prstGeom prst="rect">
                      <a:avLst/>
                    </a:prstGeom>
                  </pic:spPr>
                </pic:pic>
              </a:graphicData>
            </a:graphic>
          </wp:inline>
        </w:drawing>
      </w:r>
    </w:p>
    <w:p w14:paraId="682836C1" w14:textId="77777777" w:rsidR="00AF3684" w:rsidRDefault="00AF3684" w:rsidP="00AF3684">
      <w:pPr>
        <w:pStyle w:val="Script"/>
        <w:spacing w:before="120" w:after="0" w:line="360" w:lineRule="auto"/>
        <w:rPr>
          <w:rFonts w:ascii="Open Sans" w:hAnsi="Open Sans" w:cs="Open Sans"/>
          <w:sz w:val="24"/>
          <w:szCs w:val="24"/>
        </w:rPr>
      </w:pPr>
    </w:p>
    <w:p w14:paraId="31B6C544" w14:textId="77777777" w:rsidR="00AF3684" w:rsidRDefault="00AF3684" w:rsidP="00AF3684">
      <w:pPr>
        <w:pStyle w:val="Script"/>
        <w:spacing w:before="120" w:after="0" w:line="360" w:lineRule="auto"/>
        <w:rPr>
          <w:rFonts w:ascii="Open Sans" w:hAnsi="Open Sans" w:cs="Open Sans"/>
          <w:sz w:val="24"/>
          <w:szCs w:val="24"/>
        </w:rPr>
      </w:pPr>
    </w:p>
    <w:p w14:paraId="71D22DDB" w14:textId="26E0EBA8" w:rsidR="00AF3684" w:rsidRDefault="00AF3684" w:rsidP="00AF3684">
      <w:pPr>
        <w:pStyle w:val="Heading2"/>
        <w:spacing w:before="120" w:line="360" w:lineRule="auto"/>
      </w:pPr>
      <w:r>
        <w:lastRenderedPageBreak/>
        <w:t>Slide #2</w:t>
      </w:r>
      <w:r w:rsidRPr="00AF3684">
        <w:drawing>
          <wp:inline distT="0" distB="0" distL="0" distR="0" wp14:anchorId="72875E00" wp14:editId="3A39456B">
            <wp:extent cx="5731510" cy="3222625"/>
            <wp:effectExtent l="0" t="0" r="2540" b="0"/>
            <wp:docPr id="170786308" name="Picture 1" descr="Forecasting with Seas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6308" name="Picture 1" descr="Forecasting with Seasonality"/>
                    <pic:cNvPicPr/>
                  </pic:nvPicPr>
                  <pic:blipFill>
                    <a:blip r:embed="rId6"/>
                    <a:stretch>
                      <a:fillRect/>
                    </a:stretch>
                  </pic:blipFill>
                  <pic:spPr>
                    <a:xfrm>
                      <a:off x="0" y="0"/>
                      <a:ext cx="5731510" cy="3222625"/>
                    </a:xfrm>
                    <a:prstGeom prst="rect">
                      <a:avLst/>
                    </a:prstGeom>
                  </pic:spPr>
                </pic:pic>
              </a:graphicData>
            </a:graphic>
          </wp:inline>
        </w:drawing>
      </w:r>
    </w:p>
    <w:p w14:paraId="2B3F3A46" w14:textId="77777777"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There are several seasonal forecasting methods, but I recommend a decomposition model</w:t>
      </w:r>
      <w:r>
        <w:rPr>
          <w:rFonts w:ascii="Open Sans" w:hAnsi="Open Sans" w:cs="Open Sans"/>
          <w:sz w:val="24"/>
          <w:szCs w:val="24"/>
        </w:rPr>
        <w:t>,</w:t>
      </w:r>
      <w:r w:rsidRPr="00AF3684">
        <w:rPr>
          <w:rFonts w:ascii="Open Sans" w:hAnsi="Open Sans" w:cs="Open Sans"/>
          <w:sz w:val="24"/>
          <w:szCs w:val="24"/>
        </w:rPr>
        <w:t xml:space="preserve"> which separates the long</w:t>
      </w:r>
      <w:r>
        <w:rPr>
          <w:rFonts w:ascii="Open Sans" w:hAnsi="Open Sans" w:cs="Open Sans"/>
          <w:sz w:val="24"/>
          <w:szCs w:val="24"/>
        </w:rPr>
        <w:t>-</w:t>
      </w:r>
      <w:r w:rsidRPr="00AF3684">
        <w:rPr>
          <w:rFonts w:ascii="Open Sans" w:hAnsi="Open Sans" w:cs="Open Sans"/>
          <w:sz w:val="24"/>
          <w:szCs w:val="24"/>
        </w:rPr>
        <w:t xml:space="preserve">term trend and the seasonal effects. </w:t>
      </w:r>
    </w:p>
    <w:p w14:paraId="685DB8B2" w14:textId="50BED294"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This practical method can distinguish the </w:t>
      </w:r>
      <w:r w:rsidRPr="00AF3684">
        <w:rPr>
          <w:rFonts w:ascii="Open Sans" w:hAnsi="Open Sans" w:cs="Open Sans"/>
          <w:sz w:val="24"/>
          <w:szCs w:val="24"/>
        </w:rPr>
        <w:t>long-term</w:t>
      </w:r>
      <w:r w:rsidRPr="00AF3684">
        <w:rPr>
          <w:rFonts w:ascii="Open Sans" w:hAnsi="Open Sans" w:cs="Open Sans"/>
          <w:sz w:val="24"/>
          <w:szCs w:val="24"/>
        </w:rPr>
        <w:t xml:space="preserve"> performance, which is usually due to a company's competitive advantage, and the seasonal patterns, which are due to seasonal factors.</w:t>
      </w:r>
    </w:p>
    <w:p w14:paraId="5665652D" w14:textId="77777777"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w:t>
      </w:r>
      <w:r w:rsidRPr="00AF3684">
        <w:rPr>
          <w:rFonts w:ascii="Open Sans" w:hAnsi="Open Sans" w:cs="Open Sans"/>
          <w:sz w:val="24"/>
          <w:szCs w:val="24"/>
        </w:rPr>
        <w:t>long-term</w:t>
      </w:r>
      <w:r w:rsidRPr="00AF3684">
        <w:rPr>
          <w:rFonts w:ascii="Open Sans" w:hAnsi="Open Sans" w:cs="Open Sans"/>
          <w:sz w:val="24"/>
          <w:szCs w:val="24"/>
        </w:rPr>
        <w:t xml:space="preserve"> forecasting generates any performance insights to support business level decisions. </w:t>
      </w:r>
    </w:p>
    <w:p w14:paraId="665143B6" w14:textId="77777777"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For instance, the annual growth rate can help managers decide the capital investment for additional production capacity, marketing strategy, and research and development spending. </w:t>
      </w:r>
    </w:p>
    <w:p w14:paraId="6E836CF6" w14:textId="5E93F5BA"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w:t>
      </w:r>
      <w:r>
        <w:rPr>
          <w:rFonts w:ascii="Open Sans" w:hAnsi="Open Sans" w:cs="Open Sans"/>
          <w:sz w:val="24"/>
          <w:szCs w:val="24"/>
        </w:rPr>
        <w:t>s</w:t>
      </w:r>
      <w:r w:rsidRPr="00AF3684">
        <w:rPr>
          <w:rFonts w:ascii="Open Sans" w:hAnsi="Open Sans" w:cs="Open Sans"/>
          <w:sz w:val="24"/>
          <w:szCs w:val="24"/>
        </w:rPr>
        <w:t xml:space="preserve">easonal </w:t>
      </w:r>
      <w:r>
        <w:rPr>
          <w:rFonts w:ascii="Open Sans" w:hAnsi="Open Sans" w:cs="Open Sans"/>
          <w:sz w:val="24"/>
          <w:szCs w:val="24"/>
        </w:rPr>
        <w:t>e</w:t>
      </w:r>
      <w:r w:rsidRPr="00AF3684">
        <w:rPr>
          <w:rFonts w:ascii="Open Sans" w:hAnsi="Open Sans" w:cs="Open Sans"/>
          <w:sz w:val="24"/>
          <w:szCs w:val="24"/>
        </w:rPr>
        <w:t xml:space="preserve">ffect </w:t>
      </w:r>
      <w:r>
        <w:rPr>
          <w:rFonts w:ascii="Open Sans" w:hAnsi="Open Sans" w:cs="Open Sans"/>
          <w:sz w:val="24"/>
          <w:szCs w:val="24"/>
        </w:rPr>
        <w:t>a</w:t>
      </w:r>
      <w:r w:rsidRPr="00AF3684">
        <w:rPr>
          <w:rFonts w:ascii="Open Sans" w:hAnsi="Open Sans" w:cs="Open Sans"/>
          <w:sz w:val="24"/>
          <w:szCs w:val="24"/>
        </w:rPr>
        <w:t>nalysis can help the business understand seasonal factors to support operation decisions.</w:t>
      </w:r>
    </w:p>
    <w:p w14:paraId="48ED0729" w14:textId="42F81393"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For example, the optimization of production and inventory, recruitment of temporary workers, and sales force.</w:t>
      </w:r>
    </w:p>
    <w:p w14:paraId="3D8CD183" w14:textId="6D150C8F" w:rsidR="00AF3684" w:rsidRDefault="00AF3684" w:rsidP="00AF3684">
      <w:pPr>
        <w:pStyle w:val="Heading2"/>
        <w:spacing w:before="120" w:line="360" w:lineRule="auto"/>
      </w:pPr>
      <w:r>
        <w:lastRenderedPageBreak/>
        <w:t>Slide #3</w:t>
      </w:r>
      <w:r w:rsidRPr="00AF3684">
        <w:drawing>
          <wp:inline distT="0" distB="0" distL="0" distR="0" wp14:anchorId="723C4AB3" wp14:editId="11BAFCD5">
            <wp:extent cx="5731510" cy="3223895"/>
            <wp:effectExtent l="0" t="0" r="2540" b="0"/>
            <wp:docPr id="76773873" name="Picture 1" descr="Forecasting Seasonal Business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873" name="Picture 1" descr="Forecasting Seasonal Business Performance"/>
                    <pic:cNvPicPr/>
                  </pic:nvPicPr>
                  <pic:blipFill>
                    <a:blip r:embed="rId7"/>
                    <a:stretch>
                      <a:fillRect/>
                    </a:stretch>
                  </pic:blipFill>
                  <pic:spPr>
                    <a:xfrm>
                      <a:off x="0" y="0"/>
                      <a:ext cx="5731510" cy="3223895"/>
                    </a:xfrm>
                    <a:prstGeom prst="rect">
                      <a:avLst/>
                    </a:prstGeom>
                  </pic:spPr>
                </pic:pic>
              </a:graphicData>
            </a:graphic>
          </wp:inline>
        </w:drawing>
      </w:r>
    </w:p>
    <w:p w14:paraId="0A032A1C" w14:textId="77777777"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w:t>
      </w:r>
      <w:r>
        <w:rPr>
          <w:rFonts w:ascii="Open Sans" w:hAnsi="Open Sans" w:cs="Open Sans"/>
          <w:sz w:val="24"/>
          <w:szCs w:val="24"/>
        </w:rPr>
        <w:t>d</w:t>
      </w:r>
      <w:r w:rsidRPr="00AF3684">
        <w:rPr>
          <w:rFonts w:ascii="Open Sans" w:hAnsi="Open Sans" w:cs="Open Sans"/>
          <w:sz w:val="24"/>
          <w:szCs w:val="24"/>
        </w:rPr>
        <w:t xml:space="preserve">ecomposition </w:t>
      </w:r>
      <w:r>
        <w:rPr>
          <w:rFonts w:ascii="Open Sans" w:hAnsi="Open Sans" w:cs="Open Sans"/>
          <w:sz w:val="24"/>
          <w:szCs w:val="24"/>
        </w:rPr>
        <w:t>f</w:t>
      </w:r>
      <w:r w:rsidRPr="00AF3684">
        <w:rPr>
          <w:rFonts w:ascii="Open Sans" w:hAnsi="Open Sans" w:cs="Open Sans"/>
          <w:sz w:val="24"/>
          <w:szCs w:val="24"/>
        </w:rPr>
        <w:t xml:space="preserve">orecasting </w:t>
      </w:r>
      <w:r>
        <w:rPr>
          <w:rFonts w:ascii="Open Sans" w:hAnsi="Open Sans" w:cs="Open Sans"/>
          <w:sz w:val="24"/>
          <w:szCs w:val="24"/>
        </w:rPr>
        <w:t>m</w:t>
      </w:r>
      <w:r w:rsidRPr="00AF3684">
        <w:rPr>
          <w:rFonts w:ascii="Open Sans" w:hAnsi="Open Sans" w:cs="Open Sans"/>
          <w:sz w:val="24"/>
          <w:szCs w:val="24"/>
        </w:rPr>
        <w:t xml:space="preserve">ethod consists of three steps. </w:t>
      </w:r>
    </w:p>
    <w:p w14:paraId="3D985E0E" w14:textId="137AB9B1"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first step is to use a regression model to establish a linear trend line of the sales. </w:t>
      </w:r>
      <w:r>
        <w:rPr>
          <w:rFonts w:ascii="Open Sans" w:hAnsi="Open Sans" w:cs="Open Sans"/>
          <w:sz w:val="24"/>
          <w:szCs w:val="24"/>
        </w:rPr>
        <w:t xml:space="preserve"> </w:t>
      </w:r>
      <w:r w:rsidRPr="00AF3684">
        <w:rPr>
          <w:rFonts w:ascii="Open Sans" w:hAnsi="Open Sans" w:cs="Open Sans"/>
          <w:sz w:val="24"/>
          <w:szCs w:val="24"/>
        </w:rPr>
        <w:t xml:space="preserve">The trend line represents the </w:t>
      </w:r>
      <w:r w:rsidRPr="00AF3684">
        <w:rPr>
          <w:rFonts w:ascii="Open Sans" w:hAnsi="Open Sans" w:cs="Open Sans"/>
          <w:sz w:val="24"/>
          <w:szCs w:val="24"/>
        </w:rPr>
        <w:t>long-term</w:t>
      </w:r>
      <w:r w:rsidRPr="00AF3684">
        <w:rPr>
          <w:rFonts w:ascii="Open Sans" w:hAnsi="Open Sans" w:cs="Open Sans"/>
          <w:sz w:val="24"/>
          <w:szCs w:val="24"/>
        </w:rPr>
        <w:t xml:space="preserve"> annual performance of the business or the product.</w:t>
      </w:r>
    </w:p>
    <w:p w14:paraId="2E07C728" w14:textId="558A5BF0"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second step is to compute a seasonal index of each month using the moving average methods. </w:t>
      </w:r>
      <w:r>
        <w:rPr>
          <w:rFonts w:ascii="Open Sans" w:hAnsi="Open Sans" w:cs="Open Sans"/>
          <w:sz w:val="24"/>
          <w:szCs w:val="24"/>
        </w:rPr>
        <w:t xml:space="preserve"> </w:t>
      </w:r>
      <w:r w:rsidRPr="00AF3684">
        <w:rPr>
          <w:rFonts w:ascii="Open Sans" w:hAnsi="Open Sans" w:cs="Open Sans"/>
          <w:sz w:val="24"/>
          <w:szCs w:val="24"/>
        </w:rPr>
        <w:t xml:space="preserve">The seasonal index represents the seasonal effect of each month. </w:t>
      </w:r>
      <w:r>
        <w:rPr>
          <w:rFonts w:ascii="Open Sans" w:hAnsi="Open Sans" w:cs="Open Sans"/>
          <w:sz w:val="24"/>
          <w:szCs w:val="24"/>
        </w:rPr>
        <w:t xml:space="preserve"> </w:t>
      </w:r>
      <w:r w:rsidRPr="00AF3684">
        <w:rPr>
          <w:rFonts w:ascii="Open Sans" w:hAnsi="Open Sans" w:cs="Open Sans"/>
          <w:sz w:val="24"/>
          <w:szCs w:val="24"/>
        </w:rPr>
        <w:t xml:space="preserve">The identified seasonal effect shall give operation managers some business insights to support operation decisions. </w:t>
      </w:r>
    </w:p>
    <w:p w14:paraId="195D0AB1" w14:textId="70B1266B"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last step is to adjust the trend prediction with the seasonal index to forecast the </w:t>
      </w:r>
      <w:r w:rsidRPr="00AF3684">
        <w:rPr>
          <w:rFonts w:ascii="Open Sans" w:hAnsi="Open Sans" w:cs="Open Sans"/>
          <w:sz w:val="24"/>
          <w:szCs w:val="24"/>
        </w:rPr>
        <w:t>long-term</w:t>
      </w:r>
      <w:r w:rsidRPr="00AF3684">
        <w:rPr>
          <w:rFonts w:ascii="Open Sans" w:hAnsi="Open Sans" w:cs="Open Sans"/>
          <w:sz w:val="24"/>
          <w:szCs w:val="24"/>
        </w:rPr>
        <w:t xml:space="preserve"> future sales in each month.</w:t>
      </w:r>
    </w:p>
    <w:p w14:paraId="5D181397" w14:textId="5D9EB91F"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Clearly, the decomposition method will not only forecast the future sales, but also provide business insights that managers can use to make business level decisions and operation level decisions based on the </w:t>
      </w:r>
      <w:r w:rsidRPr="00AF3684">
        <w:rPr>
          <w:rFonts w:ascii="Open Sans" w:hAnsi="Open Sans" w:cs="Open Sans"/>
          <w:sz w:val="24"/>
          <w:szCs w:val="24"/>
        </w:rPr>
        <w:t>long-term</w:t>
      </w:r>
      <w:r w:rsidRPr="00AF3684">
        <w:rPr>
          <w:rFonts w:ascii="Open Sans" w:hAnsi="Open Sans" w:cs="Open Sans"/>
          <w:sz w:val="24"/>
          <w:szCs w:val="24"/>
        </w:rPr>
        <w:t xml:space="preserve"> trend and the seasonal fluctuations respectively.</w:t>
      </w:r>
    </w:p>
    <w:p w14:paraId="498733A2" w14:textId="65760AE6" w:rsidR="00AF3684" w:rsidRDefault="00AF3684" w:rsidP="00AF3684">
      <w:pPr>
        <w:pStyle w:val="Heading2"/>
        <w:spacing w:before="120" w:line="360" w:lineRule="auto"/>
      </w:pPr>
      <w:r>
        <w:lastRenderedPageBreak/>
        <w:t>Slide #4</w:t>
      </w:r>
      <w:r w:rsidRPr="00AF3684">
        <w:drawing>
          <wp:inline distT="0" distB="0" distL="0" distR="0" wp14:anchorId="135F259F" wp14:editId="30D37BDC">
            <wp:extent cx="5731510" cy="3215640"/>
            <wp:effectExtent l="0" t="0" r="2540" b="3810"/>
            <wp:docPr id="121199357" name="Picture 1" descr="Forecasting: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357" name="Picture 1" descr="Forecasting:  Linear Regression"/>
                    <pic:cNvPicPr/>
                  </pic:nvPicPr>
                  <pic:blipFill>
                    <a:blip r:embed="rId8"/>
                    <a:stretch>
                      <a:fillRect/>
                    </a:stretch>
                  </pic:blipFill>
                  <pic:spPr>
                    <a:xfrm>
                      <a:off x="0" y="0"/>
                      <a:ext cx="5731510" cy="3215640"/>
                    </a:xfrm>
                    <a:prstGeom prst="rect">
                      <a:avLst/>
                    </a:prstGeom>
                  </pic:spPr>
                </pic:pic>
              </a:graphicData>
            </a:graphic>
          </wp:inline>
        </w:drawing>
      </w:r>
    </w:p>
    <w:p w14:paraId="5F220475" w14:textId="77777777"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The first step of seasonal forecasting is the linear regression.</w:t>
      </w:r>
    </w:p>
    <w:p w14:paraId="73CD97B9" w14:textId="77777777"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It is the same as we discussed in the previous lecture. </w:t>
      </w:r>
    </w:p>
    <w:p w14:paraId="3711DBE3" w14:textId="1B4CFE89"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The linear function represents the relationship between monthly sales and time. The monthly sale of OCT machines grows at a consistent pace, which leads to an annual sale increase of 5 million. The projected annual growth rate between 2017 and 2018 is 15%.</w:t>
      </w:r>
    </w:p>
    <w:p w14:paraId="400A0029" w14:textId="77777777"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Microsoft Excel linear regression analysis is very simple, but we can still derive significant business insights from the linear trend analysis. </w:t>
      </w:r>
    </w:p>
    <w:p w14:paraId="432D7612" w14:textId="6DA2D833" w:rsidR="00AF3684" w:rsidRP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From this chart, we can clearly see the </w:t>
      </w:r>
      <w:r w:rsidRPr="00AF3684">
        <w:rPr>
          <w:rFonts w:ascii="Open Sans" w:hAnsi="Open Sans" w:cs="Open Sans"/>
          <w:sz w:val="24"/>
          <w:szCs w:val="24"/>
        </w:rPr>
        <w:t>long-term</w:t>
      </w:r>
      <w:r w:rsidRPr="00AF3684">
        <w:rPr>
          <w:rFonts w:ascii="Open Sans" w:hAnsi="Open Sans" w:cs="Open Sans"/>
          <w:sz w:val="24"/>
          <w:szCs w:val="24"/>
        </w:rPr>
        <w:t xml:space="preserve"> growth of OCT sales between January 2016 and October 2017. And we can project the same trend into the future, into 2018 and even 2019.</w:t>
      </w:r>
    </w:p>
    <w:p w14:paraId="71FBEFBD" w14:textId="314278C3" w:rsidR="00AF3684" w:rsidRDefault="00AF3684"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Also, the graph shows a very regular pattern of fluctuation around the trend line. In 2016, sales were low in January and February. It increased in March and remained low in the second quarter of the year. The monthly sales jumped in </w:t>
      </w:r>
      <w:proofErr w:type="gramStart"/>
      <w:r w:rsidRPr="00AF3684">
        <w:rPr>
          <w:rFonts w:ascii="Open Sans" w:hAnsi="Open Sans" w:cs="Open Sans"/>
          <w:sz w:val="24"/>
          <w:szCs w:val="24"/>
        </w:rPr>
        <w:t>August</w:t>
      </w:r>
      <w:proofErr w:type="gramEnd"/>
      <w:r w:rsidRPr="00AF3684">
        <w:rPr>
          <w:rFonts w:ascii="Open Sans" w:hAnsi="Open Sans" w:cs="Open Sans"/>
          <w:sz w:val="24"/>
          <w:szCs w:val="24"/>
        </w:rPr>
        <w:t xml:space="preserve"> and it remained low in December. The pattern repeated in 2017.</w:t>
      </w:r>
    </w:p>
    <w:p w14:paraId="6A9B813C" w14:textId="24399FD3" w:rsidR="00AF3684" w:rsidRDefault="00AF3684" w:rsidP="00AF3684">
      <w:pPr>
        <w:pStyle w:val="Heading2"/>
        <w:spacing w:before="120" w:line="360" w:lineRule="auto"/>
      </w:pPr>
      <w:r>
        <w:lastRenderedPageBreak/>
        <w:t>Slide #5</w:t>
      </w:r>
      <w:r w:rsidRPr="00AF3684">
        <w:drawing>
          <wp:inline distT="0" distB="0" distL="0" distR="0" wp14:anchorId="26448F4B" wp14:editId="336480EC">
            <wp:extent cx="5731510" cy="3214370"/>
            <wp:effectExtent l="0" t="0" r="2540" b="5080"/>
            <wp:docPr id="2039451725" name="Picture 1" descr="Seasonal 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1725" name="Picture 1" descr="Seasonal Indices"/>
                    <pic:cNvPicPr/>
                  </pic:nvPicPr>
                  <pic:blipFill>
                    <a:blip r:embed="rId9"/>
                    <a:stretch>
                      <a:fillRect/>
                    </a:stretch>
                  </pic:blipFill>
                  <pic:spPr>
                    <a:xfrm>
                      <a:off x="0" y="0"/>
                      <a:ext cx="5731510" cy="3214370"/>
                    </a:xfrm>
                    <a:prstGeom prst="rect">
                      <a:avLst/>
                    </a:prstGeom>
                  </pic:spPr>
                </pic:pic>
              </a:graphicData>
            </a:graphic>
          </wp:inline>
        </w:drawing>
      </w:r>
    </w:p>
    <w:p w14:paraId="057AFD07" w14:textId="77777777" w:rsidR="00AF3684" w:rsidRDefault="00AF3684" w:rsidP="00AF3684">
      <w:pPr>
        <w:pStyle w:val="Script"/>
        <w:spacing w:before="120" w:after="0" w:line="360" w:lineRule="auto"/>
        <w:rPr>
          <w:rFonts w:ascii="Open Sans" w:hAnsi="Open Sans" w:cs="Open Sans"/>
          <w:sz w:val="24"/>
          <w:szCs w:val="24"/>
        </w:rPr>
      </w:pPr>
    </w:p>
    <w:p w14:paraId="59A356EE" w14:textId="77777777" w:rsidR="00AF3684" w:rsidRDefault="00AF3684" w:rsidP="00AF3684">
      <w:pPr>
        <w:pStyle w:val="Script"/>
        <w:spacing w:before="120" w:after="0" w:line="360" w:lineRule="auto"/>
        <w:rPr>
          <w:rFonts w:ascii="Open Sans" w:hAnsi="Open Sans" w:cs="Open Sans"/>
          <w:sz w:val="24"/>
          <w:szCs w:val="24"/>
        </w:rPr>
      </w:pPr>
    </w:p>
    <w:p w14:paraId="7E8AB666"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second step is to compute the seasonal indexes of 12 months using the moving average method. </w:t>
      </w:r>
    </w:p>
    <w:p w14:paraId="33C7E8BE"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We use the multiplicative model to forecast the monthly sale with the below formula. </w:t>
      </w:r>
    </w:p>
    <w:p w14:paraId="709FCD35"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Forecast equals the sale trend forecast multiplied by the seasonal indexes. </w:t>
      </w:r>
    </w:p>
    <w:p w14:paraId="4FDE99C1" w14:textId="17389459" w:rsidR="007B3121" w:rsidRP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A simple and effective way of modeling multiplicative seasonal effects is to develop seasonal indexes that reflect the average percentage by which sales in each month differ from their projected trend value.</w:t>
      </w:r>
    </w:p>
    <w:p w14:paraId="647CA86C"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We use the concept of moving average smoothing technique to calculate the seasonal index of each month. </w:t>
      </w:r>
    </w:p>
    <w:p w14:paraId="17CCFEF7"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seasonal index of a specific month equals to the actual sale in that month divided by the moving average sale in the </w:t>
      </w:r>
      <w:r w:rsidR="00AF3684" w:rsidRPr="00AF3684">
        <w:rPr>
          <w:rFonts w:ascii="Open Sans" w:hAnsi="Open Sans" w:cs="Open Sans"/>
          <w:sz w:val="24"/>
          <w:szCs w:val="24"/>
        </w:rPr>
        <w:t>12-month</w:t>
      </w:r>
      <w:r w:rsidRPr="00AF3684">
        <w:rPr>
          <w:rFonts w:ascii="Open Sans" w:hAnsi="Open Sans" w:cs="Open Sans"/>
          <w:sz w:val="24"/>
          <w:szCs w:val="24"/>
        </w:rPr>
        <w:t xml:space="preserve"> window. </w:t>
      </w:r>
    </w:p>
    <w:p w14:paraId="696B2D88"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lastRenderedPageBreak/>
        <w:t xml:space="preserve">The center of the </w:t>
      </w:r>
      <w:proofErr w:type="gramStart"/>
      <w:r w:rsidRPr="00AF3684">
        <w:rPr>
          <w:rFonts w:ascii="Open Sans" w:hAnsi="Open Sans" w:cs="Open Sans"/>
          <w:sz w:val="24"/>
          <w:szCs w:val="24"/>
        </w:rPr>
        <w:t>12 month</w:t>
      </w:r>
      <w:proofErr w:type="gramEnd"/>
      <w:r w:rsidRPr="00AF3684">
        <w:rPr>
          <w:rFonts w:ascii="Open Sans" w:hAnsi="Open Sans" w:cs="Open Sans"/>
          <w:sz w:val="24"/>
          <w:szCs w:val="24"/>
        </w:rPr>
        <w:t xml:space="preserve"> window is the specific month. </w:t>
      </w:r>
    </w:p>
    <w:p w14:paraId="29BD672B" w14:textId="2E5E0ED1" w:rsidR="007B3121" w:rsidRP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We choose 12 month moving average window because the seasonal pattern repeats every year.</w:t>
      </w:r>
    </w:p>
    <w:p w14:paraId="61913549"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If the seasonal window is shorter than a year, you can choose a narrower moving average window. </w:t>
      </w:r>
    </w:p>
    <w:p w14:paraId="5537B615"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I do not recommend a moving average window broader than a year because the older data may not represent the current business situation. </w:t>
      </w:r>
    </w:p>
    <w:p w14:paraId="622B9F3B" w14:textId="1AB60DAF" w:rsidR="007B3121" w:rsidRP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Since a year includes 12 months, the middle point is not at the exact center of the 12 data points.</w:t>
      </w:r>
    </w:p>
    <w:p w14:paraId="27AD0AAF"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There are 6 data points in the first half and another 6 data points in the second half. </w:t>
      </w:r>
    </w:p>
    <w:p w14:paraId="21262347" w14:textId="77777777" w:rsidR="00AF3684" w:rsidRDefault="00000000" w:rsidP="00AF3684">
      <w:pPr>
        <w:pStyle w:val="Script"/>
        <w:spacing w:before="120" w:after="0" w:line="360" w:lineRule="auto"/>
        <w:rPr>
          <w:rFonts w:ascii="Open Sans" w:hAnsi="Open Sans" w:cs="Open Sans"/>
          <w:sz w:val="24"/>
          <w:szCs w:val="24"/>
        </w:rPr>
      </w:pPr>
      <w:proofErr w:type="gramStart"/>
      <w:r w:rsidRPr="00AF3684">
        <w:rPr>
          <w:rFonts w:ascii="Open Sans" w:hAnsi="Open Sans" w:cs="Open Sans"/>
          <w:sz w:val="24"/>
          <w:szCs w:val="24"/>
        </w:rPr>
        <w:t>So</w:t>
      </w:r>
      <w:proofErr w:type="gramEnd"/>
      <w:r w:rsidRPr="00AF3684">
        <w:rPr>
          <w:rFonts w:ascii="Open Sans" w:hAnsi="Open Sans" w:cs="Open Sans"/>
          <w:sz w:val="24"/>
          <w:szCs w:val="24"/>
        </w:rPr>
        <w:t xml:space="preserve"> the middle of the year is either in the first half or the second half. </w:t>
      </w:r>
    </w:p>
    <w:p w14:paraId="39467092" w14:textId="77777777" w:rsidR="00AF3684" w:rsidRDefault="00000000" w:rsidP="00AF3684">
      <w:pPr>
        <w:pStyle w:val="Script"/>
        <w:spacing w:before="120" w:after="0" w:line="360" w:lineRule="auto"/>
        <w:rPr>
          <w:rFonts w:ascii="Open Sans" w:hAnsi="Open Sans" w:cs="Open Sans"/>
          <w:sz w:val="24"/>
          <w:szCs w:val="24"/>
        </w:rPr>
      </w:pPr>
      <w:proofErr w:type="gramStart"/>
      <w:r w:rsidRPr="00AF3684">
        <w:rPr>
          <w:rFonts w:ascii="Open Sans" w:hAnsi="Open Sans" w:cs="Open Sans"/>
          <w:sz w:val="24"/>
          <w:szCs w:val="24"/>
        </w:rPr>
        <w:t>So</w:t>
      </w:r>
      <w:proofErr w:type="gramEnd"/>
      <w:r w:rsidRPr="00AF3684">
        <w:rPr>
          <w:rFonts w:ascii="Open Sans" w:hAnsi="Open Sans" w:cs="Open Sans"/>
          <w:sz w:val="24"/>
          <w:szCs w:val="24"/>
        </w:rPr>
        <w:t xml:space="preserve"> we use the average of two adjacent 12 month windows. </w:t>
      </w:r>
    </w:p>
    <w:p w14:paraId="6A4B6BA4"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For instance, to calculate the seasonal index of January 2017, we use the average of the moving average numbers of two </w:t>
      </w:r>
      <w:r w:rsidR="00AF3684" w:rsidRPr="00AF3684">
        <w:rPr>
          <w:rFonts w:ascii="Open Sans" w:hAnsi="Open Sans" w:cs="Open Sans"/>
          <w:sz w:val="24"/>
          <w:szCs w:val="24"/>
        </w:rPr>
        <w:t>12-month</w:t>
      </w:r>
      <w:r w:rsidRPr="00AF3684">
        <w:rPr>
          <w:rFonts w:ascii="Open Sans" w:hAnsi="Open Sans" w:cs="Open Sans"/>
          <w:sz w:val="24"/>
          <w:szCs w:val="24"/>
        </w:rPr>
        <w:t xml:space="preserve"> time series windows.</w:t>
      </w:r>
    </w:p>
    <w:p w14:paraId="028BC355"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One is between August 2016 and July 2017. The other window is between July 2016 and June 2017. </w:t>
      </w:r>
    </w:p>
    <w:p w14:paraId="684061FC" w14:textId="77777777" w:rsid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The two </w:t>
      </w:r>
      <w:r w:rsidR="00AF3684" w:rsidRPr="00AF3684">
        <w:rPr>
          <w:rFonts w:ascii="Open Sans" w:hAnsi="Open Sans" w:cs="Open Sans"/>
          <w:sz w:val="24"/>
          <w:szCs w:val="24"/>
        </w:rPr>
        <w:t>12-month</w:t>
      </w:r>
      <w:r w:rsidRPr="00AF3684">
        <w:rPr>
          <w:rFonts w:ascii="Open Sans" w:hAnsi="Open Sans" w:cs="Open Sans"/>
          <w:sz w:val="24"/>
          <w:szCs w:val="24"/>
        </w:rPr>
        <w:t xml:space="preserve"> windows are shown in this spreadsheet table. </w:t>
      </w:r>
    </w:p>
    <w:p w14:paraId="16A1B36B" w14:textId="706752E0" w:rsidR="007B3121" w:rsidRP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 xml:space="preserve">And we can see that January is at the beginning of the second half of the first </w:t>
      </w:r>
      <w:r w:rsidR="00AF3684" w:rsidRPr="00AF3684">
        <w:rPr>
          <w:rFonts w:ascii="Open Sans" w:hAnsi="Open Sans" w:cs="Open Sans"/>
          <w:sz w:val="24"/>
          <w:szCs w:val="24"/>
        </w:rPr>
        <w:t>12-month</w:t>
      </w:r>
      <w:r w:rsidRPr="00AF3684">
        <w:rPr>
          <w:rFonts w:ascii="Open Sans" w:hAnsi="Open Sans" w:cs="Open Sans"/>
          <w:sz w:val="24"/>
          <w:szCs w:val="24"/>
        </w:rPr>
        <w:t xml:space="preserve"> window</w:t>
      </w:r>
      <w:r w:rsidR="00AF3684">
        <w:rPr>
          <w:rFonts w:ascii="Open Sans" w:hAnsi="Open Sans" w:cs="Open Sans"/>
          <w:sz w:val="24"/>
          <w:szCs w:val="24"/>
        </w:rPr>
        <w:t xml:space="preserve"> a</w:t>
      </w:r>
      <w:r w:rsidRPr="00AF3684">
        <w:rPr>
          <w:rFonts w:ascii="Open Sans" w:hAnsi="Open Sans" w:cs="Open Sans"/>
          <w:sz w:val="24"/>
          <w:szCs w:val="24"/>
        </w:rPr>
        <w:t>nd it is also at the end of the first half of the second 12</w:t>
      </w:r>
      <w:r w:rsidR="00AF3684">
        <w:rPr>
          <w:rFonts w:ascii="Open Sans" w:hAnsi="Open Sans" w:cs="Open Sans"/>
          <w:sz w:val="24"/>
          <w:szCs w:val="24"/>
        </w:rPr>
        <w:t>-</w:t>
      </w:r>
      <w:r w:rsidRPr="00AF3684">
        <w:rPr>
          <w:rFonts w:ascii="Open Sans" w:hAnsi="Open Sans" w:cs="Open Sans"/>
          <w:sz w:val="24"/>
          <w:szCs w:val="24"/>
        </w:rPr>
        <w:t>month window.</w:t>
      </w:r>
    </w:p>
    <w:p w14:paraId="546CDD0C" w14:textId="77777777" w:rsidR="007B3121" w:rsidRPr="00AF3684" w:rsidRDefault="00000000" w:rsidP="00AF3684">
      <w:pPr>
        <w:pStyle w:val="Script"/>
        <w:spacing w:before="120" w:after="0" w:line="360" w:lineRule="auto"/>
        <w:rPr>
          <w:rFonts w:ascii="Open Sans" w:hAnsi="Open Sans" w:cs="Open Sans"/>
          <w:sz w:val="24"/>
          <w:szCs w:val="24"/>
        </w:rPr>
      </w:pPr>
      <w:r w:rsidRPr="00AF3684">
        <w:rPr>
          <w:rFonts w:ascii="Open Sans" w:hAnsi="Open Sans" w:cs="Open Sans"/>
          <w:sz w:val="24"/>
          <w:szCs w:val="24"/>
        </w:rPr>
        <w:t>That is the reason we use two 12 month moving average windows to calculate the time series moving average sale in 12 months.</w:t>
      </w:r>
    </w:p>
    <w:sectPr w:rsidR="007B3121" w:rsidRPr="00AF3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84672B"/>
    <w:multiLevelType w:val="hybridMultilevel"/>
    <w:tmpl w:val="5F62BFBE"/>
    <w:lvl w:ilvl="0" w:tplc="4E0A4186">
      <w:start w:val="1"/>
      <w:numFmt w:val="bullet"/>
      <w:lvlText w:val="●"/>
      <w:lvlJc w:val="left"/>
      <w:pPr>
        <w:ind w:left="720" w:hanging="360"/>
      </w:pPr>
    </w:lvl>
    <w:lvl w:ilvl="1" w:tplc="3DAEA838">
      <w:start w:val="1"/>
      <w:numFmt w:val="bullet"/>
      <w:lvlText w:val="○"/>
      <w:lvlJc w:val="left"/>
      <w:pPr>
        <w:ind w:left="1440" w:hanging="360"/>
      </w:pPr>
    </w:lvl>
    <w:lvl w:ilvl="2" w:tplc="FF029236">
      <w:start w:val="1"/>
      <w:numFmt w:val="bullet"/>
      <w:lvlText w:val="■"/>
      <w:lvlJc w:val="left"/>
      <w:pPr>
        <w:ind w:left="2160" w:hanging="360"/>
      </w:pPr>
    </w:lvl>
    <w:lvl w:ilvl="3" w:tplc="C780185C">
      <w:start w:val="1"/>
      <w:numFmt w:val="bullet"/>
      <w:lvlText w:val="●"/>
      <w:lvlJc w:val="left"/>
      <w:pPr>
        <w:ind w:left="2880" w:hanging="360"/>
      </w:pPr>
    </w:lvl>
    <w:lvl w:ilvl="4" w:tplc="C80883B6">
      <w:start w:val="1"/>
      <w:numFmt w:val="bullet"/>
      <w:lvlText w:val="○"/>
      <w:lvlJc w:val="left"/>
      <w:pPr>
        <w:ind w:left="3600" w:hanging="360"/>
      </w:pPr>
    </w:lvl>
    <w:lvl w:ilvl="5" w:tplc="7372732A">
      <w:start w:val="1"/>
      <w:numFmt w:val="bullet"/>
      <w:lvlText w:val="■"/>
      <w:lvlJc w:val="left"/>
      <w:pPr>
        <w:ind w:left="4320" w:hanging="360"/>
      </w:pPr>
    </w:lvl>
    <w:lvl w:ilvl="6" w:tplc="B0403912">
      <w:start w:val="1"/>
      <w:numFmt w:val="bullet"/>
      <w:lvlText w:val="●"/>
      <w:lvlJc w:val="left"/>
      <w:pPr>
        <w:ind w:left="5040" w:hanging="360"/>
      </w:pPr>
    </w:lvl>
    <w:lvl w:ilvl="7" w:tplc="B43047B8">
      <w:start w:val="1"/>
      <w:numFmt w:val="bullet"/>
      <w:lvlText w:val="●"/>
      <w:lvlJc w:val="left"/>
      <w:pPr>
        <w:ind w:left="5760" w:hanging="360"/>
      </w:pPr>
    </w:lvl>
    <w:lvl w:ilvl="8" w:tplc="E8162246">
      <w:start w:val="1"/>
      <w:numFmt w:val="bullet"/>
      <w:lvlText w:val="●"/>
      <w:lvlJc w:val="left"/>
      <w:pPr>
        <w:ind w:left="6480" w:hanging="360"/>
      </w:pPr>
    </w:lvl>
  </w:abstractNum>
  <w:num w:numId="1" w16cid:durableId="102370445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121"/>
    <w:rsid w:val="002A7E59"/>
    <w:rsid w:val="007B3121"/>
    <w:rsid w:val="00AF3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509E4"/>
  <w15:docId w15:val="{A068E6AC-6A4E-49A0-AA57-07233E5D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AF3684"/>
    <w:pPr>
      <w:spacing w:before="120" w:after="260"/>
      <w:jc w:val="center"/>
      <w:outlineLvl w:val="0"/>
    </w:pPr>
    <w:rPr>
      <w:rFonts w:ascii="Open Sans" w:hAnsi="Open Sans"/>
      <w:b/>
      <w:bCs/>
      <w:sz w:val="36"/>
      <w:szCs w:val="48"/>
    </w:rPr>
  </w:style>
  <w:style w:type="paragraph" w:styleId="Heading2">
    <w:name w:val="heading 2"/>
    <w:uiPriority w:val="9"/>
    <w:unhideWhenUsed/>
    <w:qFormat/>
    <w:rsid w:val="00AF3684"/>
    <w:pPr>
      <w:outlineLvl w:val="1"/>
    </w:pPr>
    <w:rPr>
      <w:rFonts w:ascii="Open Sans" w:hAnsi="Open Sans"/>
      <w:b/>
      <w:i/>
      <w:color w:val="000000" w:themeColor="text1"/>
      <w:sz w:val="24"/>
      <w:szCs w:val="26"/>
    </w:rPr>
  </w:style>
  <w:style w:type="paragraph" w:styleId="Heading3">
    <w:name w:val="heading 3"/>
    <w:uiPriority w:val="9"/>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M6L6b - Seasonal analysis</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Analysis</dc:title>
  <dc:creator>Un-named</dc:creator>
  <cp:lastModifiedBy>Williams, Elisabeth G</cp:lastModifiedBy>
  <cp:revision>2</cp:revision>
  <cp:lastPrinted>2024-08-21T22:24:00Z</cp:lastPrinted>
  <dcterms:created xsi:type="dcterms:W3CDTF">2024-08-21T22:24:00Z</dcterms:created>
  <dcterms:modified xsi:type="dcterms:W3CDTF">2024-08-21T22:24:00Z</dcterms:modified>
</cp:coreProperties>
</file>