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5E55F" w14:textId="77777777" w:rsidR="00536302" w:rsidRDefault="00536302" w:rsidP="00536302">
      <w:pPr>
        <w:pStyle w:val="Title"/>
        <w:rPr>
          <w:lang w:eastAsia="zh-CN"/>
        </w:rPr>
      </w:pPr>
      <w:bookmarkStart w:id="0" w:name="_Ref169184389"/>
      <w:bookmarkStart w:id="1" w:name="_Hlk164330487"/>
      <w:bookmarkStart w:id="2" w:name="_Hlk155619895"/>
      <w:bookmarkStart w:id="3" w:name="OLE_LINK1"/>
    </w:p>
    <w:p w14:paraId="70465CAC" w14:textId="77777777" w:rsidR="00536302" w:rsidRDefault="00536302" w:rsidP="00536302">
      <w:pPr>
        <w:pStyle w:val="Title"/>
      </w:pPr>
    </w:p>
    <w:p w14:paraId="72DA6900" w14:textId="77777777" w:rsidR="00536302" w:rsidRDefault="00536302" w:rsidP="00536302">
      <w:pPr>
        <w:pStyle w:val="Title"/>
      </w:pPr>
    </w:p>
    <w:p w14:paraId="44B49E77" w14:textId="2196614E" w:rsidR="00536302" w:rsidRDefault="00C532C4" w:rsidP="00C532C4">
      <w:pPr>
        <w:pStyle w:val="Title"/>
        <w:jc w:val="center"/>
      </w:pPr>
      <w:bookmarkStart w:id="4" w:name="_Toc191026901"/>
      <w:r>
        <w:t xml:space="preserve">A Systematic Approach to </w:t>
      </w:r>
      <w:r w:rsidR="00C644A9">
        <w:t>Decision</w:t>
      </w:r>
      <w:r w:rsidR="004D35C9">
        <w:t>-</w:t>
      </w:r>
      <w:r w:rsidR="00C644A9">
        <w:t>Making</w:t>
      </w:r>
      <w:bookmarkEnd w:id="4"/>
    </w:p>
    <w:p w14:paraId="2EE01F26" w14:textId="1DDABC7B" w:rsidR="004D35C9" w:rsidRDefault="004D35C9" w:rsidP="004D35C9">
      <w:pPr>
        <w:pStyle w:val="Subtitle"/>
        <w:jc w:val="center"/>
      </w:pPr>
      <w:r>
        <w:t>Integrat</w:t>
      </w:r>
      <w:r w:rsidR="002E56A0">
        <w:t>e</w:t>
      </w:r>
      <w:r>
        <w:t xml:space="preserve"> strategy, data analytics</w:t>
      </w:r>
      <w:r w:rsidR="00F96A0F">
        <w:t>,</w:t>
      </w:r>
      <w:r>
        <w:t xml:space="preserve"> and human judgment</w:t>
      </w:r>
    </w:p>
    <w:p w14:paraId="1F0BC205" w14:textId="77777777" w:rsidR="00536302" w:rsidRDefault="00536302" w:rsidP="00536302">
      <w:pPr>
        <w:pStyle w:val="Title"/>
        <w:jc w:val="center"/>
      </w:pPr>
    </w:p>
    <w:p w14:paraId="3BC13990" w14:textId="440EF564" w:rsidR="00536302" w:rsidRDefault="00536302" w:rsidP="00536302">
      <w:pPr>
        <w:pStyle w:val="Subtitle"/>
        <w:jc w:val="center"/>
      </w:pPr>
      <w:r>
        <w:t>Dr. Xiaomin Yang</w:t>
      </w:r>
    </w:p>
    <w:p w14:paraId="20CE68A5" w14:textId="77777777" w:rsidR="00536302" w:rsidRDefault="00536302" w:rsidP="00536302"/>
    <w:p w14:paraId="4447D533" w14:textId="1A83CFFC" w:rsidR="00536302" w:rsidRDefault="00536302" w:rsidP="00536302">
      <w:pPr>
        <w:jc w:val="center"/>
      </w:pPr>
      <w:r w:rsidRPr="00886A71">
        <w:rPr>
          <w:highlight w:val="yellow"/>
        </w:rPr>
        <w:t>{</w:t>
      </w:r>
      <w:r w:rsidR="00886A71" w:rsidRPr="00886A71">
        <w:rPr>
          <w:highlight w:val="yellow"/>
        </w:rPr>
        <w:t>V2.0 working version</w:t>
      </w:r>
      <w:r w:rsidRPr="00886A71">
        <w:rPr>
          <w:highlight w:val="yellow"/>
        </w:rPr>
        <w:t>}</w:t>
      </w:r>
    </w:p>
    <w:p w14:paraId="104E6C76" w14:textId="5593912E" w:rsidR="00886A71" w:rsidRPr="00536302" w:rsidRDefault="00886A71" w:rsidP="00536302">
      <w:pPr>
        <w:jc w:val="center"/>
      </w:pPr>
      <w:r w:rsidRPr="00886A71">
        <w:rPr>
          <w:highlight w:val="yellow"/>
        </w:rPr>
        <w:t>Last update: February 12, 2025</w:t>
      </w:r>
    </w:p>
    <w:p w14:paraId="3771B0F8" w14:textId="5E8A77F7" w:rsidR="00536302" w:rsidRDefault="00536302">
      <w:pPr>
        <w:spacing w:before="0" w:after="160" w:line="259" w:lineRule="auto"/>
      </w:pPr>
      <w:r>
        <w:br w:type="page"/>
      </w:r>
    </w:p>
    <w:p w14:paraId="370E00DD" w14:textId="7418BB2F" w:rsidR="001A787F" w:rsidRDefault="001A787F" w:rsidP="00CB7A08">
      <w:pPr>
        <w:pStyle w:val="Heading1"/>
        <w:numPr>
          <w:ilvl w:val="0"/>
          <w:numId w:val="0"/>
        </w:numPr>
        <w:ind w:left="432" w:hanging="432"/>
      </w:pPr>
      <w:bookmarkStart w:id="5" w:name="_Toc191026902"/>
      <w:r>
        <w:lastRenderedPageBreak/>
        <w:t>Overview</w:t>
      </w:r>
      <w:bookmarkEnd w:id="0"/>
      <w:bookmarkEnd w:id="5"/>
    </w:p>
    <w:p w14:paraId="1DDE830F" w14:textId="0D6C95C2" w:rsidR="008029AD" w:rsidRDefault="008029AD" w:rsidP="00CC4A5B">
      <w:r w:rsidRPr="008029AD">
        <w:t xml:space="preserve">Decision-making shapes everything we do—at work, at home, and in life. Yet, </w:t>
      </w:r>
      <w:r w:rsidR="007F0D24">
        <w:t>how often do we</w:t>
      </w:r>
      <w:r w:rsidRPr="008029AD">
        <w:t xml:space="preserve"> </w:t>
      </w:r>
      <w:r w:rsidR="007F0D24">
        <w:t>take a moment to reflect</w:t>
      </w:r>
      <w:r w:rsidRPr="008029AD">
        <w:t xml:space="preserve"> how we </w:t>
      </w:r>
      <w:r w:rsidR="0074672C">
        <w:t xml:space="preserve">actually </w:t>
      </w:r>
      <w:r w:rsidRPr="008029AD">
        <w:t xml:space="preserve">make </w:t>
      </w:r>
      <w:r w:rsidR="007F0D24">
        <w:t xml:space="preserve">these </w:t>
      </w:r>
      <w:r w:rsidRPr="008029AD">
        <w:t>decisions</w:t>
      </w:r>
      <w:r w:rsidR="007F0D24">
        <w:t>?</w:t>
      </w:r>
      <w:r w:rsidRPr="008029AD">
        <w:t xml:space="preserve"> </w:t>
      </w:r>
      <w:r w:rsidR="00F936BA" w:rsidRPr="00F936BA">
        <w:t xml:space="preserve">How do we move forward when conflicting opinions hold us back? How can we use </w:t>
      </w:r>
      <w:r w:rsidR="0074672C">
        <w:t xml:space="preserve">technology to support decision-making </w:t>
      </w:r>
      <w:r w:rsidR="00F936BA" w:rsidRPr="00F936BA">
        <w:t xml:space="preserve">without </w:t>
      </w:r>
      <w:r w:rsidR="00C32309">
        <w:t xml:space="preserve">feeling </w:t>
      </w:r>
      <w:r w:rsidR="00F936BA" w:rsidRPr="00F936BA">
        <w:t xml:space="preserve">overwhelmed? </w:t>
      </w:r>
      <w:r w:rsidR="00F936BA">
        <w:t>Even</w:t>
      </w:r>
      <w:r w:rsidRPr="008029AD">
        <w:t xml:space="preserve"> when things turn out well, doubt </w:t>
      </w:r>
      <w:r w:rsidR="00F936BA">
        <w:t xml:space="preserve">can still </w:t>
      </w:r>
      <w:r w:rsidRPr="008029AD">
        <w:t>linger. The truth is, good decision-making isn’t just about the final outcome—it’s about having confidence in the process.</w:t>
      </w:r>
    </w:p>
    <w:p w14:paraId="5BB181D5" w14:textId="0FBB4AB7" w:rsidR="00CC4A5B" w:rsidRDefault="00CC4A5B" w:rsidP="00CC4A5B">
      <w:r>
        <w:t xml:space="preserve">This book introduces a three-step framework designed to improve how we make decisions. </w:t>
      </w:r>
      <w:r w:rsidR="00C32309">
        <w:t>R</w:t>
      </w:r>
      <w:r>
        <w:t>efined over years of teaching this approach to master’s students—hundreds</w:t>
      </w:r>
      <w:r w:rsidR="008029AD">
        <w:t xml:space="preserve"> </w:t>
      </w:r>
      <w:r>
        <w:t xml:space="preserve">of working professionals who have </w:t>
      </w:r>
      <w:r w:rsidR="0074672C">
        <w:t xml:space="preserve">tried and </w:t>
      </w:r>
      <w:r>
        <w:t>tested it in their careers</w:t>
      </w:r>
      <w:r w:rsidR="00C32309">
        <w:t xml:space="preserve"> </w:t>
      </w:r>
      <w:r w:rsidR="005508FD">
        <w:t>—</w:t>
      </w:r>
      <w:r w:rsidR="00C32309">
        <w:t xml:space="preserve">the framework is </w:t>
      </w:r>
      <w:r w:rsidR="00C32309" w:rsidRPr="00C32309">
        <w:t>shaped by their experiences and feedback</w:t>
      </w:r>
      <w:r w:rsidR="005508FD">
        <w:t>. It consists of</w:t>
      </w:r>
      <w:r w:rsidR="0074672C">
        <w:t xml:space="preserve">: </w:t>
      </w:r>
    </w:p>
    <w:p w14:paraId="43CEADC2" w14:textId="613DBF51" w:rsidR="00CC4A5B" w:rsidRDefault="00CC4A5B" w:rsidP="00D81274">
      <w:pPr>
        <w:pStyle w:val="ListParagraph"/>
        <w:numPr>
          <w:ilvl w:val="0"/>
          <w:numId w:val="44"/>
        </w:numPr>
      </w:pPr>
      <w:r>
        <w:t>Set Clear Goals</w:t>
      </w:r>
      <w:r w:rsidR="00DB152D">
        <w:t>: G</w:t>
      </w:r>
      <w:r>
        <w:t xml:space="preserve">ood decisions start with a well-defined objective. Before weighing </w:t>
      </w:r>
      <w:r w:rsidR="0074672C">
        <w:t xml:space="preserve">your </w:t>
      </w:r>
      <w:r>
        <w:t xml:space="preserve">options, you need to know exactly what you’re trying to achieve and how it fits into the bigger picture. </w:t>
      </w:r>
      <w:r w:rsidR="001C3455" w:rsidRPr="001C3455">
        <w:t xml:space="preserve">A clear goal provides </w:t>
      </w:r>
      <w:r w:rsidR="007F0D24">
        <w:t xml:space="preserve">direction, </w:t>
      </w:r>
      <w:r w:rsidR="001C3455" w:rsidRPr="001C3455">
        <w:t>purpose</w:t>
      </w:r>
      <w:r w:rsidR="005508FD">
        <w:t xml:space="preserve">, </w:t>
      </w:r>
      <w:r w:rsidR="001C3455" w:rsidRPr="001C3455">
        <w:t>and better communication</w:t>
      </w:r>
      <w:r w:rsidR="008029AD" w:rsidRPr="008029AD">
        <w:t>.</w:t>
      </w:r>
    </w:p>
    <w:p w14:paraId="6AECBC19" w14:textId="6FF125E0" w:rsidR="00CC4A5B" w:rsidRDefault="00CC4A5B" w:rsidP="00D81274">
      <w:pPr>
        <w:pStyle w:val="ListParagraph"/>
        <w:numPr>
          <w:ilvl w:val="0"/>
          <w:numId w:val="44"/>
        </w:numPr>
      </w:pPr>
      <w:r>
        <w:t>Use Technology S</w:t>
      </w:r>
      <w:r w:rsidR="0074672C">
        <w:t>trategically</w:t>
      </w:r>
      <w:r w:rsidR="00DB152D">
        <w:t>: D</w:t>
      </w:r>
      <w:r>
        <w:t xml:space="preserve">ata and analytical tools are more accessible than ever, but more data doesn’t always </w:t>
      </w:r>
      <w:r w:rsidR="005508FD">
        <w:t>mean</w:t>
      </w:r>
      <w:r w:rsidR="00F936BA">
        <w:t xml:space="preserve"> </w:t>
      </w:r>
      <w:r>
        <w:t xml:space="preserve">better decisions. The key is to focus on </w:t>
      </w:r>
      <w:r w:rsidR="0043455B" w:rsidRPr="0043455B">
        <w:t>insights that directly support your decision</w:t>
      </w:r>
      <w:r w:rsidR="0074672C">
        <w:t xml:space="preserve"> </w:t>
      </w:r>
      <w:r w:rsidR="00C32309">
        <w:t>while</w:t>
      </w:r>
      <w:r w:rsidR="0074672C">
        <w:t xml:space="preserve"> </w:t>
      </w:r>
      <w:r>
        <w:t>avoid</w:t>
      </w:r>
      <w:r w:rsidR="00C32309">
        <w:t>ing</w:t>
      </w:r>
      <w:r>
        <w:t xml:space="preserve"> unnecessary complexity and information overload.</w:t>
      </w:r>
    </w:p>
    <w:p w14:paraId="16F8F602" w14:textId="48E21EB7" w:rsidR="00CC4A5B" w:rsidRDefault="0074672C" w:rsidP="00D81274">
      <w:pPr>
        <w:pStyle w:val="ListParagraph"/>
        <w:numPr>
          <w:ilvl w:val="0"/>
          <w:numId w:val="44"/>
        </w:numPr>
      </w:pPr>
      <w:r>
        <w:t>Trust Your</w:t>
      </w:r>
      <w:r w:rsidR="00CC4A5B">
        <w:t xml:space="preserve"> Judgment</w:t>
      </w:r>
      <w:r w:rsidR="00DB152D">
        <w:t>: W</w:t>
      </w:r>
      <w:r w:rsidR="00CC4A5B">
        <w:t xml:space="preserve">hile </w:t>
      </w:r>
      <w:r w:rsidR="005508FD">
        <w:t>technology</w:t>
      </w:r>
      <w:r w:rsidR="00CC4A5B">
        <w:t xml:space="preserve"> is powerful</w:t>
      </w:r>
      <w:r w:rsidR="005508FD">
        <w:t xml:space="preserve">, </w:t>
      </w:r>
      <w:r w:rsidR="00CC4A5B">
        <w:t xml:space="preserve">it doesn’t replace human </w:t>
      </w:r>
      <w:r>
        <w:t>intuition</w:t>
      </w:r>
      <w:r w:rsidR="00CC4A5B">
        <w:t xml:space="preserve">. At the end of the day, </w:t>
      </w:r>
      <w:r w:rsidR="001C3455">
        <w:t xml:space="preserve">people make decisions </w:t>
      </w:r>
      <w:r w:rsidR="00DB152D">
        <w:t xml:space="preserve">and </w:t>
      </w:r>
      <w:r w:rsidR="001C3455">
        <w:t xml:space="preserve">take action </w:t>
      </w:r>
      <w:r w:rsidR="0043455B" w:rsidRPr="0043455B">
        <w:t>to achieve intended outcomes.</w:t>
      </w:r>
      <w:r w:rsidR="005508FD">
        <w:t xml:space="preserve"> </w:t>
      </w:r>
      <w:r w:rsidR="00CC4A5B">
        <w:t xml:space="preserve">Recognizing cognitive biases, considering ethical implications, and </w:t>
      </w:r>
      <w:r w:rsidR="00F936BA">
        <w:t xml:space="preserve">trusting </w:t>
      </w:r>
      <w:r>
        <w:t>instinct</w:t>
      </w:r>
      <w:r w:rsidR="00CC4A5B">
        <w:t xml:space="preserve"> are all critical to making thoughtful, </w:t>
      </w:r>
      <w:r w:rsidR="008029AD" w:rsidRPr="00CC4A5B">
        <w:t xml:space="preserve">executable </w:t>
      </w:r>
      <w:r w:rsidR="00CC4A5B">
        <w:t>choices.</w:t>
      </w:r>
    </w:p>
    <w:p w14:paraId="529F574B" w14:textId="6A2D47CA" w:rsidR="00246B54" w:rsidRDefault="0074672C" w:rsidP="00CC4A5B">
      <w:r>
        <w:t xml:space="preserve">This book breaks down the framework </w:t>
      </w:r>
      <w:r w:rsidR="00C32309">
        <w:t xml:space="preserve">through core </w:t>
      </w:r>
      <w:r>
        <w:t xml:space="preserve">principles, </w:t>
      </w:r>
      <w:r w:rsidR="00C32309">
        <w:t>real-world</w:t>
      </w:r>
      <w:r>
        <w:t xml:space="preserve"> examples</w:t>
      </w:r>
      <w:r w:rsidR="005508FD">
        <w:t>,</w:t>
      </w:r>
      <w:r w:rsidR="00C32309">
        <w:t xml:space="preserve"> and practical tools</w:t>
      </w:r>
      <w:r>
        <w:t xml:space="preserve">. But </w:t>
      </w:r>
      <w:r w:rsidR="00C32309">
        <w:t>it</w:t>
      </w:r>
      <w:r>
        <w:t xml:space="preserve"> </w:t>
      </w:r>
      <w:r w:rsidR="00CC4A5B">
        <w:t xml:space="preserve">isn’t about rigid formulas—it’s about developing a </w:t>
      </w:r>
      <w:r w:rsidR="0043455B">
        <w:t>systematic</w:t>
      </w:r>
      <w:r w:rsidR="00CC4A5B">
        <w:t xml:space="preserve"> approach </w:t>
      </w:r>
      <w:r w:rsidR="0043455B" w:rsidRPr="0043455B">
        <w:t xml:space="preserve">that empowers you to make decisions </w:t>
      </w:r>
      <w:r w:rsidR="007F0D24">
        <w:t xml:space="preserve">confidently </w:t>
      </w:r>
      <w:r w:rsidR="0043455B" w:rsidRPr="0043455B">
        <w:t xml:space="preserve">and </w:t>
      </w:r>
      <w:r w:rsidR="00C32309">
        <w:t xml:space="preserve">gain </w:t>
      </w:r>
      <w:r>
        <w:t xml:space="preserve">insights </w:t>
      </w:r>
      <w:r w:rsidR="0043455B" w:rsidRPr="0043455B">
        <w:t>from every experience</w:t>
      </w:r>
      <w:r w:rsidR="00CC4A5B">
        <w:t>.</w:t>
      </w:r>
    </w:p>
    <w:p w14:paraId="66281142" w14:textId="77777777" w:rsidR="00246B54" w:rsidRDefault="00246B54">
      <w:pPr>
        <w:spacing w:before="0" w:after="160" w:line="259" w:lineRule="auto"/>
      </w:pPr>
      <w:r>
        <w:br w:type="page"/>
      </w:r>
    </w:p>
    <w:p w14:paraId="2E8D7BE3" w14:textId="77777777" w:rsidR="00246B54" w:rsidRDefault="00246B54" w:rsidP="00246B54">
      <w:pPr>
        <w:pStyle w:val="Heading1"/>
        <w:numPr>
          <w:ilvl w:val="0"/>
          <w:numId w:val="0"/>
        </w:numPr>
        <w:ind w:left="432" w:hanging="432"/>
      </w:pPr>
      <w:r w:rsidRPr="00246B54">
        <w:lastRenderedPageBreak/>
        <w:t>How This Book Is Organized</w:t>
      </w:r>
    </w:p>
    <w:p w14:paraId="308CCFEF" w14:textId="5DAC9993" w:rsidR="007F4096" w:rsidRDefault="007F4096" w:rsidP="007F4096">
      <w:r>
        <w:t>This book breaks down the three-step decision-making framework, focusing on its key components—human judgment and data analytics. Each section provides clear principles, real-world examples, and practical tools.</w:t>
      </w:r>
    </w:p>
    <w:p w14:paraId="3949563E" w14:textId="418C8963" w:rsidR="007F4096" w:rsidRDefault="007F4096" w:rsidP="007F4096">
      <w:r>
        <w:t>Part I explores the roles of human judgment and data analytics in decision-making. It demonstrates how data and artificial intelligence (AI) can inform decisions, while human judgment ensures that context and broader goals are considered.</w:t>
      </w:r>
    </w:p>
    <w:p w14:paraId="01A4FD16" w14:textId="477F6931" w:rsidR="007F4096" w:rsidRDefault="007F4096" w:rsidP="007F4096">
      <w:r>
        <w:t>Part II examines cognitive biases—such as confirmation bias, anchoring, and framing—and how they can distort decision-making. It also covers biases like the winner's curse and escalation of commitment that emerge in business and competitive environments. This section provides strategies to counteract these biases and make more rational decisions.</w:t>
      </w:r>
    </w:p>
    <w:p w14:paraId="2BA35AB3" w14:textId="7DF3488D" w:rsidR="007F4096" w:rsidRDefault="007F4096" w:rsidP="007F4096">
      <w:r>
        <w:t>Part III introduces three foundational analytics tools—decision trees, optimization, and simulation—especially for decision-making under uncertainty. While many other tools exist, mastering these three will help you select and apply the right tools in technology-driven scenarios.</w:t>
      </w:r>
    </w:p>
    <w:p w14:paraId="4580EB64" w14:textId="34DB5730" w:rsidR="007F4096" w:rsidRDefault="007F4096" w:rsidP="007F4096">
      <w:r>
        <w:t xml:space="preserve">The book concludes with business cases that demonstrate how to integrate human judgment with technology, including AI, to enhance decision-making. </w:t>
      </w:r>
    </w:p>
    <w:p w14:paraId="2DBDECAC" w14:textId="0B697BA1" w:rsidR="008029AD" w:rsidRDefault="008029AD" w:rsidP="001A0F65"/>
    <w:p w14:paraId="3D80E458" w14:textId="77777777" w:rsidR="007F4096" w:rsidRDefault="007F4096" w:rsidP="001A0F65"/>
    <w:p w14:paraId="0A9BE2DC" w14:textId="77777777" w:rsidR="007F4096" w:rsidRDefault="007F4096" w:rsidP="001A0F65"/>
    <w:p w14:paraId="4DEC09AA" w14:textId="77777777" w:rsidR="00246B54" w:rsidRDefault="00246B54" w:rsidP="00CC4A5B"/>
    <w:p w14:paraId="01E0481A" w14:textId="14656907" w:rsidR="001C23F4" w:rsidRDefault="00E5154B" w:rsidP="00CB7A08">
      <w:pPr>
        <w:pStyle w:val="Heading1"/>
        <w:numPr>
          <w:ilvl w:val="0"/>
          <w:numId w:val="0"/>
        </w:numPr>
        <w:ind w:left="432" w:hanging="432"/>
      </w:pPr>
      <w:bookmarkStart w:id="6" w:name="_Toc191026903"/>
      <w:r>
        <w:lastRenderedPageBreak/>
        <w:t xml:space="preserve">Table of </w:t>
      </w:r>
      <w:r w:rsidR="00DC2EB1">
        <w:t>C</w:t>
      </w:r>
      <w:r>
        <w:t>ontents</w:t>
      </w:r>
      <w:bookmarkEnd w:id="6"/>
    </w:p>
    <w:p w14:paraId="5AE47C14" w14:textId="22876B4C" w:rsidR="00E23B5F" w:rsidRDefault="00027F2E">
      <w:pPr>
        <w:pStyle w:val="TOC1"/>
        <w:tabs>
          <w:tab w:val="right" w:leader="dot" w:pos="9350"/>
        </w:tabs>
        <w:rPr>
          <w:rFonts w:eastAsiaTheme="minorEastAsia"/>
          <w:noProof/>
          <w:sz w:val="24"/>
          <w:szCs w:val="24"/>
          <w:lang w:eastAsia="zh-CN"/>
        </w:rPr>
      </w:pPr>
      <w:r>
        <w:fldChar w:fldCharType="begin"/>
      </w:r>
      <w:r>
        <w:instrText xml:space="preserve"> TOC \o "1-2" \h \z \u </w:instrText>
      </w:r>
      <w:r>
        <w:fldChar w:fldCharType="separate"/>
      </w:r>
      <w:hyperlink w:anchor="_Toc191026901" w:history="1">
        <w:r w:rsidR="00E23B5F" w:rsidRPr="00ED06AF">
          <w:rPr>
            <w:rStyle w:val="Hyperlink"/>
            <w:noProof/>
          </w:rPr>
          <w:t>A Systematic Approach to Decision-Making</w:t>
        </w:r>
        <w:r w:rsidR="00E23B5F">
          <w:rPr>
            <w:noProof/>
            <w:webHidden/>
          </w:rPr>
          <w:tab/>
        </w:r>
        <w:r w:rsidR="00E23B5F">
          <w:rPr>
            <w:noProof/>
            <w:webHidden/>
          </w:rPr>
          <w:fldChar w:fldCharType="begin"/>
        </w:r>
        <w:r w:rsidR="00E23B5F">
          <w:rPr>
            <w:noProof/>
            <w:webHidden/>
          </w:rPr>
          <w:instrText xml:space="preserve"> PAGEREF _Toc191026901 \h </w:instrText>
        </w:r>
        <w:r w:rsidR="00E23B5F">
          <w:rPr>
            <w:noProof/>
            <w:webHidden/>
          </w:rPr>
        </w:r>
        <w:r w:rsidR="00E23B5F">
          <w:rPr>
            <w:noProof/>
            <w:webHidden/>
          </w:rPr>
          <w:fldChar w:fldCharType="separate"/>
        </w:r>
        <w:r w:rsidR="00E23B5F">
          <w:rPr>
            <w:noProof/>
            <w:webHidden/>
          </w:rPr>
          <w:t>1</w:t>
        </w:r>
        <w:r w:rsidR="00E23B5F">
          <w:rPr>
            <w:noProof/>
            <w:webHidden/>
          </w:rPr>
          <w:fldChar w:fldCharType="end"/>
        </w:r>
      </w:hyperlink>
    </w:p>
    <w:p w14:paraId="0A78EA47" w14:textId="041207F3" w:rsidR="00E23B5F" w:rsidRDefault="00E23B5F">
      <w:pPr>
        <w:pStyle w:val="TOC1"/>
        <w:tabs>
          <w:tab w:val="right" w:leader="dot" w:pos="9350"/>
        </w:tabs>
        <w:rPr>
          <w:rFonts w:eastAsiaTheme="minorEastAsia"/>
          <w:noProof/>
          <w:sz w:val="24"/>
          <w:szCs w:val="24"/>
          <w:lang w:eastAsia="zh-CN"/>
        </w:rPr>
      </w:pPr>
      <w:hyperlink w:anchor="_Toc191026902" w:history="1">
        <w:r w:rsidRPr="00ED06AF">
          <w:rPr>
            <w:rStyle w:val="Hyperlink"/>
            <w:noProof/>
          </w:rPr>
          <w:t>Overview</w:t>
        </w:r>
        <w:r>
          <w:rPr>
            <w:noProof/>
            <w:webHidden/>
          </w:rPr>
          <w:tab/>
        </w:r>
        <w:r>
          <w:rPr>
            <w:noProof/>
            <w:webHidden/>
          </w:rPr>
          <w:fldChar w:fldCharType="begin"/>
        </w:r>
        <w:r>
          <w:rPr>
            <w:noProof/>
            <w:webHidden/>
          </w:rPr>
          <w:instrText xml:space="preserve"> PAGEREF _Toc191026902 \h </w:instrText>
        </w:r>
        <w:r>
          <w:rPr>
            <w:noProof/>
            <w:webHidden/>
          </w:rPr>
        </w:r>
        <w:r>
          <w:rPr>
            <w:noProof/>
            <w:webHidden/>
          </w:rPr>
          <w:fldChar w:fldCharType="separate"/>
        </w:r>
        <w:r>
          <w:rPr>
            <w:noProof/>
            <w:webHidden/>
          </w:rPr>
          <w:t>2</w:t>
        </w:r>
        <w:r>
          <w:rPr>
            <w:noProof/>
            <w:webHidden/>
          </w:rPr>
          <w:fldChar w:fldCharType="end"/>
        </w:r>
      </w:hyperlink>
    </w:p>
    <w:p w14:paraId="5BC0658E" w14:textId="1DB0895B" w:rsidR="00E23B5F" w:rsidRDefault="00E23B5F">
      <w:pPr>
        <w:pStyle w:val="TOC1"/>
        <w:tabs>
          <w:tab w:val="right" w:leader="dot" w:pos="9350"/>
        </w:tabs>
        <w:rPr>
          <w:rFonts w:eastAsiaTheme="minorEastAsia"/>
          <w:noProof/>
          <w:sz w:val="24"/>
          <w:szCs w:val="24"/>
          <w:lang w:eastAsia="zh-CN"/>
        </w:rPr>
      </w:pPr>
      <w:hyperlink w:anchor="_Toc191026903" w:history="1">
        <w:r w:rsidRPr="00ED06AF">
          <w:rPr>
            <w:rStyle w:val="Hyperlink"/>
            <w:noProof/>
          </w:rPr>
          <w:t>Table of Contents</w:t>
        </w:r>
        <w:r>
          <w:rPr>
            <w:noProof/>
            <w:webHidden/>
          </w:rPr>
          <w:tab/>
        </w:r>
        <w:r>
          <w:rPr>
            <w:noProof/>
            <w:webHidden/>
          </w:rPr>
          <w:fldChar w:fldCharType="begin"/>
        </w:r>
        <w:r>
          <w:rPr>
            <w:noProof/>
            <w:webHidden/>
          </w:rPr>
          <w:instrText xml:space="preserve"> PAGEREF _Toc191026903 \h </w:instrText>
        </w:r>
        <w:r>
          <w:rPr>
            <w:noProof/>
            <w:webHidden/>
          </w:rPr>
        </w:r>
        <w:r>
          <w:rPr>
            <w:noProof/>
            <w:webHidden/>
          </w:rPr>
          <w:fldChar w:fldCharType="separate"/>
        </w:r>
        <w:r>
          <w:rPr>
            <w:noProof/>
            <w:webHidden/>
          </w:rPr>
          <w:t>3</w:t>
        </w:r>
        <w:r>
          <w:rPr>
            <w:noProof/>
            <w:webHidden/>
          </w:rPr>
          <w:fldChar w:fldCharType="end"/>
        </w:r>
      </w:hyperlink>
    </w:p>
    <w:p w14:paraId="7F04E886" w14:textId="3FA2E365" w:rsidR="00E23B5F" w:rsidRDefault="00E23B5F">
      <w:pPr>
        <w:pStyle w:val="TOC1"/>
        <w:tabs>
          <w:tab w:val="right" w:leader="dot" w:pos="9350"/>
        </w:tabs>
        <w:rPr>
          <w:rFonts w:eastAsiaTheme="minorEastAsia"/>
          <w:noProof/>
          <w:sz w:val="24"/>
          <w:szCs w:val="24"/>
          <w:lang w:eastAsia="zh-CN"/>
        </w:rPr>
      </w:pPr>
      <w:hyperlink w:anchor="_Toc191026904" w:history="1">
        <w:r w:rsidRPr="00ED06AF">
          <w:rPr>
            <w:rStyle w:val="Hyperlink"/>
            <w:noProof/>
          </w:rPr>
          <w:t>Part I</w:t>
        </w:r>
        <w:r>
          <w:rPr>
            <w:noProof/>
            <w:webHidden/>
          </w:rPr>
          <w:tab/>
        </w:r>
        <w:r>
          <w:rPr>
            <w:noProof/>
            <w:webHidden/>
          </w:rPr>
          <w:fldChar w:fldCharType="begin"/>
        </w:r>
        <w:r>
          <w:rPr>
            <w:noProof/>
            <w:webHidden/>
          </w:rPr>
          <w:instrText xml:space="preserve"> PAGEREF _Toc191026904 \h </w:instrText>
        </w:r>
        <w:r>
          <w:rPr>
            <w:noProof/>
            <w:webHidden/>
          </w:rPr>
        </w:r>
        <w:r>
          <w:rPr>
            <w:noProof/>
            <w:webHidden/>
          </w:rPr>
          <w:fldChar w:fldCharType="separate"/>
        </w:r>
        <w:r>
          <w:rPr>
            <w:noProof/>
            <w:webHidden/>
          </w:rPr>
          <w:t>6</w:t>
        </w:r>
        <w:r>
          <w:rPr>
            <w:noProof/>
            <w:webHidden/>
          </w:rPr>
          <w:fldChar w:fldCharType="end"/>
        </w:r>
      </w:hyperlink>
    </w:p>
    <w:p w14:paraId="7A596B1D" w14:textId="50CF7F9B" w:rsidR="00E23B5F" w:rsidRDefault="00E23B5F">
      <w:pPr>
        <w:pStyle w:val="TOC1"/>
        <w:tabs>
          <w:tab w:val="right" w:leader="dot" w:pos="9350"/>
        </w:tabs>
        <w:rPr>
          <w:rFonts w:eastAsiaTheme="minorEastAsia"/>
          <w:noProof/>
          <w:sz w:val="24"/>
          <w:szCs w:val="24"/>
          <w:lang w:eastAsia="zh-CN"/>
        </w:rPr>
      </w:pPr>
      <w:hyperlink w:anchor="_Toc191026905" w:history="1">
        <w:r w:rsidRPr="00ED06AF">
          <w:rPr>
            <w:rStyle w:val="Hyperlink"/>
            <w:noProof/>
          </w:rPr>
          <w:t>Data Analytics and Human Judgement Integration for Decision-Making</w:t>
        </w:r>
        <w:r>
          <w:rPr>
            <w:noProof/>
            <w:webHidden/>
          </w:rPr>
          <w:tab/>
        </w:r>
        <w:r>
          <w:rPr>
            <w:noProof/>
            <w:webHidden/>
          </w:rPr>
          <w:fldChar w:fldCharType="begin"/>
        </w:r>
        <w:r>
          <w:rPr>
            <w:noProof/>
            <w:webHidden/>
          </w:rPr>
          <w:instrText xml:space="preserve"> PAGEREF _Toc191026905 \h </w:instrText>
        </w:r>
        <w:r>
          <w:rPr>
            <w:noProof/>
            <w:webHidden/>
          </w:rPr>
        </w:r>
        <w:r>
          <w:rPr>
            <w:noProof/>
            <w:webHidden/>
          </w:rPr>
          <w:fldChar w:fldCharType="separate"/>
        </w:r>
        <w:r>
          <w:rPr>
            <w:noProof/>
            <w:webHidden/>
          </w:rPr>
          <w:t>6</w:t>
        </w:r>
        <w:r>
          <w:rPr>
            <w:noProof/>
            <w:webHidden/>
          </w:rPr>
          <w:fldChar w:fldCharType="end"/>
        </w:r>
      </w:hyperlink>
    </w:p>
    <w:p w14:paraId="536F4347" w14:textId="0BB7BB71" w:rsidR="00E23B5F" w:rsidRDefault="00E23B5F">
      <w:pPr>
        <w:pStyle w:val="TOC1"/>
        <w:tabs>
          <w:tab w:val="left" w:pos="480"/>
          <w:tab w:val="right" w:leader="dot" w:pos="9350"/>
        </w:tabs>
        <w:rPr>
          <w:rFonts w:eastAsiaTheme="minorEastAsia"/>
          <w:noProof/>
          <w:sz w:val="24"/>
          <w:szCs w:val="24"/>
          <w:lang w:eastAsia="zh-CN"/>
        </w:rPr>
      </w:pPr>
      <w:hyperlink w:anchor="_Toc191026906" w:history="1">
        <w:r w:rsidRPr="00ED06AF">
          <w:rPr>
            <w:rStyle w:val="Hyperlink"/>
            <w:noProof/>
          </w:rPr>
          <w:t>1</w:t>
        </w:r>
        <w:r>
          <w:rPr>
            <w:rFonts w:eastAsiaTheme="minorEastAsia"/>
            <w:noProof/>
            <w:sz w:val="24"/>
            <w:szCs w:val="24"/>
            <w:lang w:eastAsia="zh-CN"/>
          </w:rPr>
          <w:tab/>
        </w:r>
        <w:r w:rsidRPr="00ED06AF">
          <w:rPr>
            <w:rStyle w:val="Hyperlink"/>
            <w:noProof/>
          </w:rPr>
          <w:t>Roles of Human and Technology in Decision-Making</w:t>
        </w:r>
        <w:r>
          <w:rPr>
            <w:noProof/>
            <w:webHidden/>
          </w:rPr>
          <w:tab/>
        </w:r>
        <w:r>
          <w:rPr>
            <w:noProof/>
            <w:webHidden/>
          </w:rPr>
          <w:fldChar w:fldCharType="begin"/>
        </w:r>
        <w:r>
          <w:rPr>
            <w:noProof/>
            <w:webHidden/>
          </w:rPr>
          <w:instrText xml:space="preserve"> PAGEREF _Toc191026906 \h </w:instrText>
        </w:r>
        <w:r>
          <w:rPr>
            <w:noProof/>
            <w:webHidden/>
          </w:rPr>
        </w:r>
        <w:r>
          <w:rPr>
            <w:noProof/>
            <w:webHidden/>
          </w:rPr>
          <w:fldChar w:fldCharType="separate"/>
        </w:r>
        <w:r>
          <w:rPr>
            <w:noProof/>
            <w:webHidden/>
          </w:rPr>
          <w:t>7</w:t>
        </w:r>
        <w:r>
          <w:rPr>
            <w:noProof/>
            <w:webHidden/>
          </w:rPr>
          <w:fldChar w:fldCharType="end"/>
        </w:r>
      </w:hyperlink>
    </w:p>
    <w:p w14:paraId="6E74CB7D" w14:textId="1383F06B" w:rsidR="00E23B5F" w:rsidRDefault="00E23B5F">
      <w:pPr>
        <w:pStyle w:val="TOC2"/>
        <w:tabs>
          <w:tab w:val="left" w:pos="960"/>
          <w:tab w:val="right" w:leader="dot" w:pos="9350"/>
        </w:tabs>
        <w:rPr>
          <w:rFonts w:eastAsiaTheme="minorEastAsia"/>
          <w:noProof/>
          <w:sz w:val="24"/>
          <w:szCs w:val="24"/>
          <w:lang w:eastAsia="zh-CN"/>
        </w:rPr>
      </w:pPr>
      <w:hyperlink w:anchor="_Toc191026907" w:history="1">
        <w:r w:rsidRPr="00ED06AF">
          <w:rPr>
            <w:rStyle w:val="Hyperlink"/>
            <w:noProof/>
          </w:rPr>
          <w:t>1.1</w:t>
        </w:r>
        <w:r>
          <w:rPr>
            <w:rFonts w:eastAsiaTheme="minorEastAsia"/>
            <w:noProof/>
            <w:sz w:val="24"/>
            <w:szCs w:val="24"/>
            <w:lang w:eastAsia="zh-CN"/>
          </w:rPr>
          <w:tab/>
        </w:r>
        <w:r w:rsidRPr="00ED06AF">
          <w:rPr>
            <w:rStyle w:val="Hyperlink"/>
            <w:noProof/>
          </w:rPr>
          <w:t>Decision-Making:  A Dynamic Process</w:t>
        </w:r>
        <w:r>
          <w:rPr>
            <w:noProof/>
            <w:webHidden/>
          </w:rPr>
          <w:tab/>
        </w:r>
        <w:r>
          <w:rPr>
            <w:noProof/>
            <w:webHidden/>
          </w:rPr>
          <w:fldChar w:fldCharType="begin"/>
        </w:r>
        <w:r>
          <w:rPr>
            <w:noProof/>
            <w:webHidden/>
          </w:rPr>
          <w:instrText xml:space="preserve"> PAGEREF _Toc191026907 \h </w:instrText>
        </w:r>
        <w:r>
          <w:rPr>
            <w:noProof/>
            <w:webHidden/>
          </w:rPr>
        </w:r>
        <w:r>
          <w:rPr>
            <w:noProof/>
            <w:webHidden/>
          </w:rPr>
          <w:fldChar w:fldCharType="separate"/>
        </w:r>
        <w:r>
          <w:rPr>
            <w:noProof/>
            <w:webHidden/>
          </w:rPr>
          <w:t>7</w:t>
        </w:r>
        <w:r>
          <w:rPr>
            <w:noProof/>
            <w:webHidden/>
          </w:rPr>
          <w:fldChar w:fldCharType="end"/>
        </w:r>
      </w:hyperlink>
    </w:p>
    <w:p w14:paraId="11AF6C4E" w14:textId="0A39CA72" w:rsidR="00E23B5F" w:rsidRDefault="00E23B5F">
      <w:pPr>
        <w:pStyle w:val="TOC2"/>
        <w:tabs>
          <w:tab w:val="left" w:pos="960"/>
          <w:tab w:val="right" w:leader="dot" w:pos="9350"/>
        </w:tabs>
        <w:rPr>
          <w:rFonts w:eastAsiaTheme="minorEastAsia"/>
          <w:noProof/>
          <w:sz w:val="24"/>
          <w:szCs w:val="24"/>
          <w:lang w:eastAsia="zh-CN"/>
        </w:rPr>
      </w:pPr>
      <w:hyperlink w:anchor="_Toc191026908" w:history="1">
        <w:r w:rsidRPr="00ED06AF">
          <w:rPr>
            <w:rStyle w:val="Hyperlink"/>
            <w:noProof/>
          </w:rPr>
          <w:t>1.2</w:t>
        </w:r>
        <w:r>
          <w:rPr>
            <w:rFonts w:eastAsiaTheme="minorEastAsia"/>
            <w:noProof/>
            <w:sz w:val="24"/>
            <w:szCs w:val="24"/>
            <w:lang w:eastAsia="zh-CN"/>
          </w:rPr>
          <w:tab/>
        </w:r>
        <w:r w:rsidRPr="00ED06AF">
          <w:rPr>
            <w:rStyle w:val="Hyperlink"/>
            <w:noProof/>
          </w:rPr>
          <w:t>Roles of Humans and Data in Decision-Making Overview</w:t>
        </w:r>
        <w:r>
          <w:rPr>
            <w:noProof/>
            <w:webHidden/>
          </w:rPr>
          <w:tab/>
        </w:r>
        <w:r>
          <w:rPr>
            <w:noProof/>
            <w:webHidden/>
          </w:rPr>
          <w:fldChar w:fldCharType="begin"/>
        </w:r>
        <w:r>
          <w:rPr>
            <w:noProof/>
            <w:webHidden/>
          </w:rPr>
          <w:instrText xml:space="preserve"> PAGEREF _Toc191026908 \h </w:instrText>
        </w:r>
        <w:r>
          <w:rPr>
            <w:noProof/>
            <w:webHidden/>
          </w:rPr>
        </w:r>
        <w:r>
          <w:rPr>
            <w:noProof/>
            <w:webHidden/>
          </w:rPr>
          <w:fldChar w:fldCharType="separate"/>
        </w:r>
        <w:r>
          <w:rPr>
            <w:noProof/>
            <w:webHidden/>
          </w:rPr>
          <w:t>8</w:t>
        </w:r>
        <w:r>
          <w:rPr>
            <w:noProof/>
            <w:webHidden/>
          </w:rPr>
          <w:fldChar w:fldCharType="end"/>
        </w:r>
      </w:hyperlink>
    </w:p>
    <w:p w14:paraId="11DAA369" w14:textId="5E734246" w:rsidR="00E23B5F" w:rsidRDefault="00E23B5F">
      <w:pPr>
        <w:pStyle w:val="TOC2"/>
        <w:tabs>
          <w:tab w:val="left" w:pos="960"/>
          <w:tab w:val="right" w:leader="dot" w:pos="9350"/>
        </w:tabs>
        <w:rPr>
          <w:rFonts w:eastAsiaTheme="minorEastAsia"/>
          <w:noProof/>
          <w:sz w:val="24"/>
          <w:szCs w:val="24"/>
          <w:lang w:eastAsia="zh-CN"/>
        </w:rPr>
      </w:pPr>
      <w:hyperlink w:anchor="_Toc191026909" w:history="1">
        <w:r w:rsidRPr="00ED06AF">
          <w:rPr>
            <w:rStyle w:val="Hyperlink"/>
            <w:noProof/>
          </w:rPr>
          <w:t>1.3</w:t>
        </w:r>
        <w:r>
          <w:rPr>
            <w:rFonts w:eastAsiaTheme="minorEastAsia"/>
            <w:noProof/>
            <w:sz w:val="24"/>
            <w:szCs w:val="24"/>
            <w:lang w:eastAsia="zh-CN"/>
          </w:rPr>
          <w:tab/>
        </w:r>
        <w:r w:rsidRPr="00ED06AF">
          <w:rPr>
            <w:rStyle w:val="Hyperlink"/>
            <w:noProof/>
          </w:rPr>
          <w:t>Role of Data Analytics in Decision-Making</w:t>
        </w:r>
        <w:r>
          <w:rPr>
            <w:noProof/>
            <w:webHidden/>
          </w:rPr>
          <w:tab/>
        </w:r>
        <w:r>
          <w:rPr>
            <w:noProof/>
            <w:webHidden/>
          </w:rPr>
          <w:fldChar w:fldCharType="begin"/>
        </w:r>
        <w:r>
          <w:rPr>
            <w:noProof/>
            <w:webHidden/>
          </w:rPr>
          <w:instrText xml:space="preserve"> PAGEREF _Toc191026909 \h </w:instrText>
        </w:r>
        <w:r>
          <w:rPr>
            <w:noProof/>
            <w:webHidden/>
          </w:rPr>
        </w:r>
        <w:r>
          <w:rPr>
            <w:noProof/>
            <w:webHidden/>
          </w:rPr>
          <w:fldChar w:fldCharType="separate"/>
        </w:r>
        <w:r>
          <w:rPr>
            <w:noProof/>
            <w:webHidden/>
          </w:rPr>
          <w:t>8</w:t>
        </w:r>
        <w:r>
          <w:rPr>
            <w:noProof/>
            <w:webHidden/>
          </w:rPr>
          <w:fldChar w:fldCharType="end"/>
        </w:r>
      </w:hyperlink>
    </w:p>
    <w:p w14:paraId="0BBBBA08" w14:textId="4E4045F8" w:rsidR="00E23B5F" w:rsidRDefault="00E23B5F">
      <w:pPr>
        <w:pStyle w:val="TOC2"/>
        <w:tabs>
          <w:tab w:val="left" w:pos="960"/>
          <w:tab w:val="right" w:leader="dot" w:pos="9350"/>
        </w:tabs>
        <w:rPr>
          <w:rFonts w:eastAsiaTheme="minorEastAsia"/>
          <w:noProof/>
          <w:sz w:val="24"/>
          <w:szCs w:val="24"/>
          <w:lang w:eastAsia="zh-CN"/>
        </w:rPr>
      </w:pPr>
      <w:hyperlink w:anchor="_Toc191026910" w:history="1">
        <w:r w:rsidRPr="00ED06AF">
          <w:rPr>
            <w:rStyle w:val="Hyperlink"/>
            <w:noProof/>
          </w:rPr>
          <w:t>1.4</w:t>
        </w:r>
        <w:r>
          <w:rPr>
            <w:rFonts w:eastAsiaTheme="minorEastAsia"/>
            <w:noProof/>
            <w:sz w:val="24"/>
            <w:szCs w:val="24"/>
            <w:lang w:eastAsia="zh-CN"/>
          </w:rPr>
          <w:tab/>
        </w:r>
        <w:r w:rsidRPr="00ED06AF">
          <w:rPr>
            <w:rStyle w:val="Hyperlink"/>
            <w:noProof/>
          </w:rPr>
          <w:t>Roles of Human Judgement in Decision-Making</w:t>
        </w:r>
        <w:r>
          <w:rPr>
            <w:noProof/>
            <w:webHidden/>
          </w:rPr>
          <w:tab/>
        </w:r>
        <w:r>
          <w:rPr>
            <w:noProof/>
            <w:webHidden/>
          </w:rPr>
          <w:fldChar w:fldCharType="begin"/>
        </w:r>
        <w:r>
          <w:rPr>
            <w:noProof/>
            <w:webHidden/>
          </w:rPr>
          <w:instrText xml:space="preserve"> PAGEREF _Toc191026910 \h </w:instrText>
        </w:r>
        <w:r>
          <w:rPr>
            <w:noProof/>
            <w:webHidden/>
          </w:rPr>
        </w:r>
        <w:r>
          <w:rPr>
            <w:noProof/>
            <w:webHidden/>
          </w:rPr>
          <w:fldChar w:fldCharType="separate"/>
        </w:r>
        <w:r>
          <w:rPr>
            <w:noProof/>
            <w:webHidden/>
          </w:rPr>
          <w:t>18</w:t>
        </w:r>
        <w:r>
          <w:rPr>
            <w:noProof/>
            <w:webHidden/>
          </w:rPr>
          <w:fldChar w:fldCharType="end"/>
        </w:r>
      </w:hyperlink>
    </w:p>
    <w:p w14:paraId="3BDC71F0" w14:textId="707F40E9" w:rsidR="00E23B5F" w:rsidRDefault="00E23B5F">
      <w:pPr>
        <w:pStyle w:val="TOC2"/>
        <w:tabs>
          <w:tab w:val="left" w:pos="960"/>
          <w:tab w:val="right" w:leader="dot" w:pos="9350"/>
        </w:tabs>
        <w:rPr>
          <w:rFonts w:eastAsiaTheme="minorEastAsia"/>
          <w:noProof/>
          <w:sz w:val="24"/>
          <w:szCs w:val="24"/>
          <w:lang w:eastAsia="zh-CN"/>
        </w:rPr>
      </w:pPr>
      <w:hyperlink w:anchor="_Toc191026911" w:history="1">
        <w:r w:rsidRPr="00ED06AF">
          <w:rPr>
            <w:rStyle w:val="Hyperlink"/>
            <w:noProof/>
          </w:rPr>
          <w:t>1.5</w:t>
        </w:r>
        <w:r>
          <w:rPr>
            <w:rFonts w:eastAsiaTheme="minorEastAsia"/>
            <w:noProof/>
            <w:sz w:val="24"/>
            <w:szCs w:val="24"/>
            <w:lang w:eastAsia="zh-CN"/>
          </w:rPr>
          <w:tab/>
        </w:r>
        <w:r w:rsidRPr="00ED06AF">
          <w:rPr>
            <w:rStyle w:val="Hyperlink"/>
            <w:noProof/>
          </w:rPr>
          <w:t>Systematic Framework for Decision-Making</w:t>
        </w:r>
        <w:r>
          <w:rPr>
            <w:noProof/>
            <w:webHidden/>
          </w:rPr>
          <w:tab/>
        </w:r>
        <w:r>
          <w:rPr>
            <w:noProof/>
            <w:webHidden/>
          </w:rPr>
          <w:fldChar w:fldCharType="begin"/>
        </w:r>
        <w:r>
          <w:rPr>
            <w:noProof/>
            <w:webHidden/>
          </w:rPr>
          <w:instrText xml:space="preserve"> PAGEREF _Toc191026911 \h </w:instrText>
        </w:r>
        <w:r>
          <w:rPr>
            <w:noProof/>
            <w:webHidden/>
          </w:rPr>
        </w:r>
        <w:r>
          <w:rPr>
            <w:noProof/>
            <w:webHidden/>
          </w:rPr>
          <w:fldChar w:fldCharType="separate"/>
        </w:r>
        <w:r>
          <w:rPr>
            <w:noProof/>
            <w:webHidden/>
          </w:rPr>
          <w:t>27</w:t>
        </w:r>
        <w:r>
          <w:rPr>
            <w:noProof/>
            <w:webHidden/>
          </w:rPr>
          <w:fldChar w:fldCharType="end"/>
        </w:r>
      </w:hyperlink>
    </w:p>
    <w:p w14:paraId="130BE466" w14:textId="062F0813" w:rsidR="00E23B5F" w:rsidRDefault="00E23B5F">
      <w:pPr>
        <w:pStyle w:val="TOC1"/>
        <w:tabs>
          <w:tab w:val="right" w:leader="dot" w:pos="9350"/>
        </w:tabs>
        <w:rPr>
          <w:rFonts w:eastAsiaTheme="minorEastAsia"/>
          <w:noProof/>
          <w:sz w:val="24"/>
          <w:szCs w:val="24"/>
          <w:lang w:eastAsia="zh-CN"/>
        </w:rPr>
      </w:pPr>
      <w:hyperlink w:anchor="_Toc191026912" w:history="1">
        <w:r w:rsidRPr="00ED06AF">
          <w:rPr>
            <w:rStyle w:val="Hyperlink"/>
            <w:noProof/>
          </w:rPr>
          <w:t>Part II Human Judgment</w:t>
        </w:r>
        <w:r>
          <w:rPr>
            <w:noProof/>
            <w:webHidden/>
          </w:rPr>
          <w:tab/>
        </w:r>
        <w:r>
          <w:rPr>
            <w:noProof/>
            <w:webHidden/>
          </w:rPr>
          <w:fldChar w:fldCharType="begin"/>
        </w:r>
        <w:r>
          <w:rPr>
            <w:noProof/>
            <w:webHidden/>
          </w:rPr>
          <w:instrText xml:space="preserve"> PAGEREF _Toc191026912 \h </w:instrText>
        </w:r>
        <w:r>
          <w:rPr>
            <w:noProof/>
            <w:webHidden/>
          </w:rPr>
        </w:r>
        <w:r>
          <w:rPr>
            <w:noProof/>
            <w:webHidden/>
          </w:rPr>
          <w:fldChar w:fldCharType="separate"/>
        </w:r>
        <w:r>
          <w:rPr>
            <w:noProof/>
            <w:webHidden/>
          </w:rPr>
          <w:t>30</w:t>
        </w:r>
        <w:r>
          <w:rPr>
            <w:noProof/>
            <w:webHidden/>
          </w:rPr>
          <w:fldChar w:fldCharType="end"/>
        </w:r>
      </w:hyperlink>
    </w:p>
    <w:p w14:paraId="4A45D939" w14:textId="45DCEE20" w:rsidR="00E23B5F" w:rsidRDefault="00E23B5F">
      <w:pPr>
        <w:pStyle w:val="TOC1"/>
        <w:tabs>
          <w:tab w:val="left" w:pos="480"/>
          <w:tab w:val="right" w:leader="dot" w:pos="9350"/>
        </w:tabs>
        <w:rPr>
          <w:rFonts w:eastAsiaTheme="minorEastAsia"/>
          <w:noProof/>
          <w:sz w:val="24"/>
          <w:szCs w:val="24"/>
          <w:lang w:eastAsia="zh-CN"/>
        </w:rPr>
      </w:pPr>
      <w:hyperlink w:anchor="_Toc191026913" w:history="1">
        <w:r w:rsidRPr="00ED06AF">
          <w:rPr>
            <w:rStyle w:val="Hyperlink"/>
            <w:noProof/>
          </w:rPr>
          <w:t>2</w:t>
        </w:r>
        <w:r>
          <w:rPr>
            <w:rFonts w:eastAsiaTheme="minorEastAsia"/>
            <w:noProof/>
            <w:sz w:val="24"/>
            <w:szCs w:val="24"/>
            <w:lang w:eastAsia="zh-CN"/>
          </w:rPr>
          <w:tab/>
        </w:r>
        <w:r w:rsidRPr="00ED06AF">
          <w:rPr>
            <w:rStyle w:val="Hyperlink"/>
            <w:noProof/>
          </w:rPr>
          <w:t>Intuitive Judgment</w:t>
        </w:r>
        <w:r>
          <w:rPr>
            <w:noProof/>
            <w:webHidden/>
          </w:rPr>
          <w:tab/>
        </w:r>
        <w:r>
          <w:rPr>
            <w:noProof/>
            <w:webHidden/>
          </w:rPr>
          <w:fldChar w:fldCharType="begin"/>
        </w:r>
        <w:r>
          <w:rPr>
            <w:noProof/>
            <w:webHidden/>
          </w:rPr>
          <w:instrText xml:space="preserve"> PAGEREF _Toc191026913 \h </w:instrText>
        </w:r>
        <w:r>
          <w:rPr>
            <w:noProof/>
            <w:webHidden/>
          </w:rPr>
        </w:r>
        <w:r>
          <w:rPr>
            <w:noProof/>
            <w:webHidden/>
          </w:rPr>
          <w:fldChar w:fldCharType="separate"/>
        </w:r>
        <w:r>
          <w:rPr>
            <w:noProof/>
            <w:webHidden/>
          </w:rPr>
          <w:t>31</w:t>
        </w:r>
        <w:r>
          <w:rPr>
            <w:noProof/>
            <w:webHidden/>
          </w:rPr>
          <w:fldChar w:fldCharType="end"/>
        </w:r>
      </w:hyperlink>
    </w:p>
    <w:p w14:paraId="74AB3413" w14:textId="6C4E97BA" w:rsidR="00E23B5F" w:rsidRDefault="00E23B5F">
      <w:pPr>
        <w:pStyle w:val="TOC2"/>
        <w:tabs>
          <w:tab w:val="left" w:pos="960"/>
          <w:tab w:val="right" w:leader="dot" w:pos="9350"/>
        </w:tabs>
        <w:rPr>
          <w:rFonts w:eastAsiaTheme="minorEastAsia"/>
          <w:noProof/>
          <w:sz w:val="24"/>
          <w:szCs w:val="24"/>
          <w:lang w:eastAsia="zh-CN"/>
        </w:rPr>
      </w:pPr>
      <w:hyperlink w:anchor="_Toc191026914" w:history="1">
        <w:r w:rsidRPr="00ED06AF">
          <w:rPr>
            <w:rStyle w:val="Hyperlink"/>
            <w:noProof/>
          </w:rPr>
          <w:t>2.1</w:t>
        </w:r>
        <w:r>
          <w:rPr>
            <w:rFonts w:eastAsiaTheme="minorEastAsia"/>
            <w:noProof/>
            <w:sz w:val="24"/>
            <w:szCs w:val="24"/>
            <w:lang w:eastAsia="zh-CN"/>
          </w:rPr>
          <w:tab/>
        </w:r>
        <w:r w:rsidRPr="00ED06AF">
          <w:rPr>
            <w:rStyle w:val="Hyperlink"/>
            <w:noProof/>
          </w:rPr>
          <w:t>Confirmation Bias</w:t>
        </w:r>
        <w:r>
          <w:rPr>
            <w:noProof/>
            <w:webHidden/>
          </w:rPr>
          <w:tab/>
        </w:r>
        <w:r>
          <w:rPr>
            <w:noProof/>
            <w:webHidden/>
          </w:rPr>
          <w:fldChar w:fldCharType="begin"/>
        </w:r>
        <w:r>
          <w:rPr>
            <w:noProof/>
            <w:webHidden/>
          </w:rPr>
          <w:instrText xml:space="preserve"> PAGEREF _Toc191026914 \h </w:instrText>
        </w:r>
        <w:r>
          <w:rPr>
            <w:noProof/>
            <w:webHidden/>
          </w:rPr>
        </w:r>
        <w:r>
          <w:rPr>
            <w:noProof/>
            <w:webHidden/>
          </w:rPr>
          <w:fldChar w:fldCharType="separate"/>
        </w:r>
        <w:r>
          <w:rPr>
            <w:noProof/>
            <w:webHidden/>
          </w:rPr>
          <w:t>32</w:t>
        </w:r>
        <w:r>
          <w:rPr>
            <w:noProof/>
            <w:webHidden/>
          </w:rPr>
          <w:fldChar w:fldCharType="end"/>
        </w:r>
      </w:hyperlink>
    </w:p>
    <w:p w14:paraId="66F9AAF8" w14:textId="5CDC4042" w:rsidR="00E23B5F" w:rsidRDefault="00E23B5F">
      <w:pPr>
        <w:pStyle w:val="TOC2"/>
        <w:tabs>
          <w:tab w:val="left" w:pos="960"/>
          <w:tab w:val="right" w:leader="dot" w:pos="9350"/>
        </w:tabs>
        <w:rPr>
          <w:rFonts w:eastAsiaTheme="minorEastAsia"/>
          <w:noProof/>
          <w:sz w:val="24"/>
          <w:szCs w:val="24"/>
          <w:lang w:eastAsia="zh-CN"/>
        </w:rPr>
      </w:pPr>
      <w:hyperlink w:anchor="_Toc191026915" w:history="1">
        <w:r w:rsidRPr="00ED06AF">
          <w:rPr>
            <w:rStyle w:val="Hyperlink"/>
            <w:noProof/>
          </w:rPr>
          <w:t>2.2</w:t>
        </w:r>
        <w:r>
          <w:rPr>
            <w:rFonts w:eastAsiaTheme="minorEastAsia"/>
            <w:noProof/>
            <w:sz w:val="24"/>
            <w:szCs w:val="24"/>
            <w:lang w:eastAsia="zh-CN"/>
          </w:rPr>
          <w:tab/>
        </w:r>
        <w:r w:rsidRPr="00ED06AF">
          <w:rPr>
            <w:rStyle w:val="Hyperlink"/>
            <w:noProof/>
          </w:rPr>
          <w:t>Anchoring Bias</w:t>
        </w:r>
        <w:r>
          <w:rPr>
            <w:noProof/>
            <w:webHidden/>
          </w:rPr>
          <w:tab/>
        </w:r>
        <w:r>
          <w:rPr>
            <w:noProof/>
            <w:webHidden/>
          </w:rPr>
          <w:fldChar w:fldCharType="begin"/>
        </w:r>
        <w:r>
          <w:rPr>
            <w:noProof/>
            <w:webHidden/>
          </w:rPr>
          <w:instrText xml:space="preserve"> PAGEREF _Toc191026915 \h </w:instrText>
        </w:r>
        <w:r>
          <w:rPr>
            <w:noProof/>
            <w:webHidden/>
          </w:rPr>
        </w:r>
        <w:r>
          <w:rPr>
            <w:noProof/>
            <w:webHidden/>
          </w:rPr>
          <w:fldChar w:fldCharType="separate"/>
        </w:r>
        <w:r>
          <w:rPr>
            <w:noProof/>
            <w:webHidden/>
          </w:rPr>
          <w:t>37</w:t>
        </w:r>
        <w:r>
          <w:rPr>
            <w:noProof/>
            <w:webHidden/>
          </w:rPr>
          <w:fldChar w:fldCharType="end"/>
        </w:r>
      </w:hyperlink>
    </w:p>
    <w:p w14:paraId="1320E5DB" w14:textId="15389E44" w:rsidR="00E23B5F" w:rsidRDefault="00E23B5F">
      <w:pPr>
        <w:pStyle w:val="TOC2"/>
        <w:tabs>
          <w:tab w:val="left" w:pos="960"/>
          <w:tab w:val="right" w:leader="dot" w:pos="9350"/>
        </w:tabs>
        <w:rPr>
          <w:rFonts w:eastAsiaTheme="minorEastAsia"/>
          <w:noProof/>
          <w:sz w:val="24"/>
          <w:szCs w:val="24"/>
          <w:lang w:eastAsia="zh-CN"/>
        </w:rPr>
      </w:pPr>
      <w:hyperlink w:anchor="_Toc191026916" w:history="1">
        <w:r w:rsidRPr="00ED06AF">
          <w:rPr>
            <w:rStyle w:val="Hyperlink"/>
            <w:noProof/>
          </w:rPr>
          <w:t>2.3</w:t>
        </w:r>
        <w:r>
          <w:rPr>
            <w:rFonts w:eastAsiaTheme="minorEastAsia"/>
            <w:noProof/>
            <w:sz w:val="24"/>
            <w:szCs w:val="24"/>
            <w:lang w:eastAsia="zh-CN"/>
          </w:rPr>
          <w:tab/>
        </w:r>
        <w:r w:rsidRPr="00ED06AF">
          <w:rPr>
            <w:rStyle w:val="Hyperlink"/>
            <w:noProof/>
          </w:rPr>
          <w:t>Framing Bias</w:t>
        </w:r>
        <w:r>
          <w:rPr>
            <w:noProof/>
            <w:webHidden/>
          </w:rPr>
          <w:tab/>
        </w:r>
        <w:r>
          <w:rPr>
            <w:noProof/>
            <w:webHidden/>
          </w:rPr>
          <w:fldChar w:fldCharType="begin"/>
        </w:r>
        <w:r>
          <w:rPr>
            <w:noProof/>
            <w:webHidden/>
          </w:rPr>
          <w:instrText xml:space="preserve"> PAGEREF _Toc191026916 \h </w:instrText>
        </w:r>
        <w:r>
          <w:rPr>
            <w:noProof/>
            <w:webHidden/>
          </w:rPr>
        </w:r>
        <w:r>
          <w:rPr>
            <w:noProof/>
            <w:webHidden/>
          </w:rPr>
          <w:fldChar w:fldCharType="separate"/>
        </w:r>
        <w:r>
          <w:rPr>
            <w:noProof/>
            <w:webHidden/>
          </w:rPr>
          <w:t>40</w:t>
        </w:r>
        <w:r>
          <w:rPr>
            <w:noProof/>
            <w:webHidden/>
          </w:rPr>
          <w:fldChar w:fldCharType="end"/>
        </w:r>
      </w:hyperlink>
    </w:p>
    <w:p w14:paraId="701EBC67" w14:textId="69A67C59" w:rsidR="00E23B5F" w:rsidRDefault="00E23B5F">
      <w:pPr>
        <w:pStyle w:val="TOC2"/>
        <w:tabs>
          <w:tab w:val="left" w:pos="960"/>
          <w:tab w:val="right" w:leader="dot" w:pos="9350"/>
        </w:tabs>
        <w:rPr>
          <w:rFonts w:eastAsiaTheme="minorEastAsia"/>
          <w:noProof/>
          <w:sz w:val="24"/>
          <w:szCs w:val="24"/>
          <w:lang w:eastAsia="zh-CN"/>
        </w:rPr>
      </w:pPr>
      <w:hyperlink w:anchor="_Toc191026917" w:history="1">
        <w:r w:rsidRPr="00ED06AF">
          <w:rPr>
            <w:rStyle w:val="Hyperlink"/>
            <w:noProof/>
          </w:rPr>
          <w:t>2.4</w:t>
        </w:r>
        <w:r>
          <w:rPr>
            <w:rFonts w:eastAsiaTheme="minorEastAsia"/>
            <w:noProof/>
            <w:sz w:val="24"/>
            <w:szCs w:val="24"/>
            <w:lang w:eastAsia="zh-CN"/>
          </w:rPr>
          <w:tab/>
        </w:r>
        <w:r w:rsidRPr="00ED06AF">
          <w:rPr>
            <w:rStyle w:val="Hyperlink"/>
            <w:noProof/>
          </w:rPr>
          <w:t>Representative Heuristic</w:t>
        </w:r>
        <w:r>
          <w:rPr>
            <w:noProof/>
            <w:webHidden/>
          </w:rPr>
          <w:tab/>
        </w:r>
        <w:r>
          <w:rPr>
            <w:noProof/>
            <w:webHidden/>
          </w:rPr>
          <w:fldChar w:fldCharType="begin"/>
        </w:r>
        <w:r>
          <w:rPr>
            <w:noProof/>
            <w:webHidden/>
          </w:rPr>
          <w:instrText xml:space="preserve"> PAGEREF _Toc191026917 \h </w:instrText>
        </w:r>
        <w:r>
          <w:rPr>
            <w:noProof/>
            <w:webHidden/>
          </w:rPr>
        </w:r>
        <w:r>
          <w:rPr>
            <w:noProof/>
            <w:webHidden/>
          </w:rPr>
          <w:fldChar w:fldCharType="separate"/>
        </w:r>
        <w:r>
          <w:rPr>
            <w:noProof/>
            <w:webHidden/>
          </w:rPr>
          <w:t>43</w:t>
        </w:r>
        <w:r>
          <w:rPr>
            <w:noProof/>
            <w:webHidden/>
          </w:rPr>
          <w:fldChar w:fldCharType="end"/>
        </w:r>
      </w:hyperlink>
    </w:p>
    <w:p w14:paraId="662E9DF2" w14:textId="53B79B2D" w:rsidR="00E23B5F" w:rsidRDefault="00E23B5F">
      <w:pPr>
        <w:pStyle w:val="TOC2"/>
        <w:tabs>
          <w:tab w:val="left" w:pos="960"/>
          <w:tab w:val="right" w:leader="dot" w:pos="9350"/>
        </w:tabs>
        <w:rPr>
          <w:rFonts w:eastAsiaTheme="minorEastAsia"/>
          <w:noProof/>
          <w:sz w:val="24"/>
          <w:szCs w:val="24"/>
          <w:lang w:eastAsia="zh-CN"/>
        </w:rPr>
      </w:pPr>
      <w:hyperlink w:anchor="_Toc191026918" w:history="1">
        <w:r w:rsidRPr="00ED06AF">
          <w:rPr>
            <w:rStyle w:val="Hyperlink"/>
            <w:noProof/>
          </w:rPr>
          <w:t>2.5</w:t>
        </w:r>
        <w:r>
          <w:rPr>
            <w:rFonts w:eastAsiaTheme="minorEastAsia"/>
            <w:noProof/>
            <w:sz w:val="24"/>
            <w:szCs w:val="24"/>
            <w:lang w:eastAsia="zh-CN"/>
          </w:rPr>
          <w:tab/>
        </w:r>
        <w:r w:rsidRPr="00ED06AF">
          <w:rPr>
            <w:rStyle w:val="Hyperlink"/>
            <w:noProof/>
          </w:rPr>
          <w:t>Cognitive Biases Summary</w:t>
        </w:r>
        <w:r>
          <w:rPr>
            <w:noProof/>
            <w:webHidden/>
          </w:rPr>
          <w:tab/>
        </w:r>
        <w:r>
          <w:rPr>
            <w:noProof/>
            <w:webHidden/>
          </w:rPr>
          <w:fldChar w:fldCharType="begin"/>
        </w:r>
        <w:r>
          <w:rPr>
            <w:noProof/>
            <w:webHidden/>
          </w:rPr>
          <w:instrText xml:space="preserve"> PAGEREF _Toc191026918 \h </w:instrText>
        </w:r>
        <w:r>
          <w:rPr>
            <w:noProof/>
            <w:webHidden/>
          </w:rPr>
        </w:r>
        <w:r>
          <w:rPr>
            <w:noProof/>
            <w:webHidden/>
          </w:rPr>
          <w:fldChar w:fldCharType="separate"/>
        </w:r>
        <w:r>
          <w:rPr>
            <w:noProof/>
            <w:webHidden/>
          </w:rPr>
          <w:t>46</w:t>
        </w:r>
        <w:r>
          <w:rPr>
            <w:noProof/>
            <w:webHidden/>
          </w:rPr>
          <w:fldChar w:fldCharType="end"/>
        </w:r>
      </w:hyperlink>
    </w:p>
    <w:p w14:paraId="256E47B9" w14:textId="48A23F43" w:rsidR="00E23B5F" w:rsidRDefault="00E23B5F">
      <w:pPr>
        <w:pStyle w:val="TOC1"/>
        <w:tabs>
          <w:tab w:val="left" w:pos="480"/>
          <w:tab w:val="right" w:leader="dot" w:pos="9350"/>
        </w:tabs>
        <w:rPr>
          <w:rFonts w:eastAsiaTheme="minorEastAsia"/>
          <w:noProof/>
          <w:sz w:val="24"/>
          <w:szCs w:val="24"/>
          <w:lang w:eastAsia="zh-CN"/>
        </w:rPr>
      </w:pPr>
      <w:hyperlink w:anchor="_Toc191026919" w:history="1">
        <w:r w:rsidRPr="00ED06AF">
          <w:rPr>
            <w:rStyle w:val="Hyperlink"/>
            <w:noProof/>
          </w:rPr>
          <w:t>3</w:t>
        </w:r>
        <w:r>
          <w:rPr>
            <w:rFonts w:eastAsiaTheme="minorEastAsia"/>
            <w:noProof/>
            <w:sz w:val="24"/>
            <w:szCs w:val="24"/>
            <w:lang w:eastAsia="zh-CN"/>
          </w:rPr>
          <w:tab/>
        </w:r>
        <w:r w:rsidRPr="00ED06AF">
          <w:rPr>
            <w:rStyle w:val="Hyperlink"/>
            <w:noProof/>
          </w:rPr>
          <w:t>Common Business Judgment Fallacies</w:t>
        </w:r>
        <w:r>
          <w:rPr>
            <w:noProof/>
            <w:webHidden/>
          </w:rPr>
          <w:tab/>
        </w:r>
        <w:r>
          <w:rPr>
            <w:noProof/>
            <w:webHidden/>
          </w:rPr>
          <w:fldChar w:fldCharType="begin"/>
        </w:r>
        <w:r>
          <w:rPr>
            <w:noProof/>
            <w:webHidden/>
          </w:rPr>
          <w:instrText xml:space="preserve"> PAGEREF _Toc191026919 \h </w:instrText>
        </w:r>
        <w:r>
          <w:rPr>
            <w:noProof/>
            <w:webHidden/>
          </w:rPr>
        </w:r>
        <w:r>
          <w:rPr>
            <w:noProof/>
            <w:webHidden/>
          </w:rPr>
          <w:fldChar w:fldCharType="separate"/>
        </w:r>
        <w:r>
          <w:rPr>
            <w:noProof/>
            <w:webHidden/>
          </w:rPr>
          <w:t>47</w:t>
        </w:r>
        <w:r>
          <w:rPr>
            <w:noProof/>
            <w:webHidden/>
          </w:rPr>
          <w:fldChar w:fldCharType="end"/>
        </w:r>
      </w:hyperlink>
    </w:p>
    <w:p w14:paraId="12C252E3" w14:textId="12034575" w:rsidR="00E23B5F" w:rsidRDefault="00E23B5F">
      <w:pPr>
        <w:pStyle w:val="TOC2"/>
        <w:tabs>
          <w:tab w:val="left" w:pos="960"/>
          <w:tab w:val="right" w:leader="dot" w:pos="9350"/>
        </w:tabs>
        <w:rPr>
          <w:rFonts w:eastAsiaTheme="minorEastAsia"/>
          <w:noProof/>
          <w:sz w:val="24"/>
          <w:szCs w:val="24"/>
          <w:lang w:eastAsia="zh-CN"/>
        </w:rPr>
      </w:pPr>
      <w:hyperlink w:anchor="_Toc191026920" w:history="1">
        <w:r w:rsidRPr="00ED06AF">
          <w:rPr>
            <w:rStyle w:val="Hyperlink"/>
            <w:noProof/>
          </w:rPr>
          <w:t>3.1</w:t>
        </w:r>
        <w:r>
          <w:rPr>
            <w:rFonts w:eastAsiaTheme="minorEastAsia"/>
            <w:noProof/>
            <w:sz w:val="24"/>
            <w:szCs w:val="24"/>
            <w:lang w:eastAsia="zh-CN"/>
          </w:rPr>
          <w:tab/>
        </w:r>
        <w:r w:rsidRPr="00ED06AF">
          <w:rPr>
            <w:rStyle w:val="Hyperlink"/>
            <w:noProof/>
          </w:rPr>
          <w:t>Endowment Effect: How Ownership Influences Asset Valuation</w:t>
        </w:r>
        <w:r>
          <w:rPr>
            <w:noProof/>
            <w:webHidden/>
          </w:rPr>
          <w:tab/>
        </w:r>
        <w:r>
          <w:rPr>
            <w:noProof/>
            <w:webHidden/>
          </w:rPr>
          <w:fldChar w:fldCharType="begin"/>
        </w:r>
        <w:r>
          <w:rPr>
            <w:noProof/>
            <w:webHidden/>
          </w:rPr>
          <w:instrText xml:space="preserve"> PAGEREF _Toc191026920 \h </w:instrText>
        </w:r>
        <w:r>
          <w:rPr>
            <w:noProof/>
            <w:webHidden/>
          </w:rPr>
        </w:r>
        <w:r>
          <w:rPr>
            <w:noProof/>
            <w:webHidden/>
          </w:rPr>
          <w:fldChar w:fldCharType="separate"/>
        </w:r>
        <w:r>
          <w:rPr>
            <w:noProof/>
            <w:webHidden/>
          </w:rPr>
          <w:t>48</w:t>
        </w:r>
        <w:r>
          <w:rPr>
            <w:noProof/>
            <w:webHidden/>
          </w:rPr>
          <w:fldChar w:fldCharType="end"/>
        </w:r>
      </w:hyperlink>
    </w:p>
    <w:p w14:paraId="43F2774D" w14:textId="55509D3E" w:rsidR="00E23B5F" w:rsidRDefault="00E23B5F">
      <w:pPr>
        <w:pStyle w:val="TOC2"/>
        <w:tabs>
          <w:tab w:val="left" w:pos="960"/>
          <w:tab w:val="right" w:leader="dot" w:pos="9350"/>
        </w:tabs>
        <w:rPr>
          <w:rFonts w:eastAsiaTheme="minorEastAsia"/>
          <w:noProof/>
          <w:sz w:val="24"/>
          <w:szCs w:val="24"/>
          <w:lang w:eastAsia="zh-CN"/>
        </w:rPr>
      </w:pPr>
      <w:hyperlink w:anchor="_Toc191026921" w:history="1">
        <w:r w:rsidRPr="00ED06AF">
          <w:rPr>
            <w:rStyle w:val="Hyperlink"/>
            <w:noProof/>
          </w:rPr>
          <w:t>3.2</w:t>
        </w:r>
        <w:r>
          <w:rPr>
            <w:rFonts w:eastAsiaTheme="minorEastAsia"/>
            <w:noProof/>
            <w:sz w:val="24"/>
            <w:szCs w:val="24"/>
            <w:lang w:eastAsia="zh-CN"/>
          </w:rPr>
          <w:tab/>
        </w:r>
        <w:r w:rsidRPr="00ED06AF">
          <w:rPr>
            <w:rStyle w:val="Hyperlink"/>
            <w:noProof/>
          </w:rPr>
          <w:t>Status Quo: Why Business Resists Change</w:t>
        </w:r>
        <w:r>
          <w:rPr>
            <w:noProof/>
            <w:webHidden/>
          </w:rPr>
          <w:tab/>
        </w:r>
        <w:r>
          <w:rPr>
            <w:noProof/>
            <w:webHidden/>
          </w:rPr>
          <w:fldChar w:fldCharType="begin"/>
        </w:r>
        <w:r>
          <w:rPr>
            <w:noProof/>
            <w:webHidden/>
          </w:rPr>
          <w:instrText xml:space="preserve"> PAGEREF _Toc191026921 \h </w:instrText>
        </w:r>
        <w:r>
          <w:rPr>
            <w:noProof/>
            <w:webHidden/>
          </w:rPr>
        </w:r>
        <w:r>
          <w:rPr>
            <w:noProof/>
            <w:webHidden/>
          </w:rPr>
          <w:fldChar w:fldCharType="separate"/>
        </w:r>
        <w:r>
          <w:rPr>
            <w:noProof/>
            <w:webHidden/>
          </w:rPr>
          <w:t>52</w:t>
        </w:r>
        <w:r>
          <w:rPr>
            <w:noProof/>
            <w:webHidden/>
          </w:rPr>
          <w:fldChar w:fldCharType="end"/>
        </w:r>
      </w:hyperlink>
    </w:p>
    <w:p w14:paraId="47D79E96" w14:textId="7EFE1056" w:rsidR="00E23B5F" w:rsidRDefault="00E23B5F">
      <w:pPr>
        <w:pStyle w:val="TOC2"/>
        <w:tabs>
          <w:tab w:val="left" w:pos="960"/>
          <w:tab w:val="right" w:leader="dot" w:pos="9350"/>
        </w:tabs>
        <w:rPr>
          <w:rFonts w:eastAsiaTheme="minorEastAsia"/>
          <w:noProof/>
          <w:sz w:val="24"/>
          <w:szCs w:val="24"/>
          <w:lang w:eastAsia="zh-CN"/>
        </w:rPr>
      </w:pPr>
      <w:hyperlink w:anchor="_Toc191026922" w:history="1">
        <w:r w:rsidRPr="00ED06AF">
          <w:rPr>
            <w:rStyle w:val="Hyperlink"/>
            <w:noProof/>
          </w:rPr>
          <w:t>3.3</w:t>
        </w:r>
        <w:r>
          <w:rPr>
            <w:rFonts w:eastAsiaTheme="minorEastAsia"/>
            <w:noProof/>
            <w:sz w:val="24"/>
            <w:szCs w:val="24"/>
            <w:lang w:eastAsia="zh-CN"/>
          </w:rPr>
          <w:tab/>
        </w:r>
        <w:r w:rsidRPr="00ED06AF">
          <w:rPr>
            <w:rStyle w:val="Hyperlink"/>
            <w:noProof/>
          </w:rPr>
          <w:t>Escalation of Commitment: Understand the Persistence in Failing Endeavors</w:t>
        </w:r>
        <w:r>
          <w:rPr>
            <w:noProof/>
            <w:webHidden/>
          </w:rPr>
          <w:tab/>
        </w:r>
        <w:r>
          <w:rPr>
            <w:noProof/>
            <w:webHidden/>
          </w:rPr>
          <w:fldChar w:fldCharType="begin"/>
        </w:r>
        <w:r>
          <w:rPr>
            <w:noProof/>
            <w:webHidden/>
          </w:rPr>
          <w:instrText xml:space="preserve"> PAGEREF _Toc191026922 \h </w:instrText>
        </w:r>
        <w:r>
          <w:rPr>
            <w:noProof/>
            <w:webHidden/>
          </w:rPr>
        </w:r>
        <w:r>
          <w:rPr>
            <w:noProof/>
            <w:webHidden/>
          </w:rPr>
          <w:fldChar w:fldCharType="separate"/>
        </w:r>
        <w:r>
          <w:rPr>
            <w:noProof/>
            <w:webHidden/>
          </w:rPr>
          <w:t>56</w:t>
        </w:r>
        <w:r>
          <w:rPr>
            <w:noProof/>
            <w:webHidden/>
          </w:rPr>
          <w:fldChar w:fldCharType="end"/>
        </w:r>
      </w:hyperlink>
    </w:p>
    <w:p w14:paraId="35EBC3A0" w14:textId="31DF1C9A" w:rsidR="00E23B5F" w:rsidRDefault="00E23B5F">
      <w:pPr>
        <w:pStyle w:val="TOC2"/>
        <w:tabs>
          <w:tab w:val="left" w:pos="960"/>
          <w:tab w:val="right" w:leader="dot" w:pos="9350"/>
        </w:tabs>
        <w:rPr>
          <w:rFonts w:eastAsiaTheme="minorEastAsia"/>
          <w:noProof/>
          <w:sz w:val="24"/>
          <w:szCs w:val="24"/>
          <w:lang w:eastAsia="zh-CN"/>
        </w:rPr>
      </w:pPr>
      <w:hyperlink w:anchor="_Toc191026923" w:history="1">
        <w:r w:rsidRPr="00ED06AF">
          <w:rPr>
            <w:rStyle w:val="Hyperlink"/>
            <w:noProof/>
          </w:rPr>
          <w:t>3.4</w:t>
        </w:r>
        <w:r>
          <w:rPr>
            <w:rFonts w:eastAsiaTheme="minorEastAsia"/>
            <w:noProof/>
            <w:sz w:val="24"/>
            <w:szCs w:val="24"/>
            <w:lang w:eastAsia="zh-CN"/>
          </w:rPr>
          <w:tab/>
        </w:r>
        <w:r w:rsidRPr="00ED06AF">
          <w:rPr>
            <w:rStyle w:val="Hyperlink"/>
            <w:noProof/>
          </w:rPr>
          <w:t>Mental Accounting: Why We Spend Bonus Money Faster Than Salary</w:t>
        </w:r>
        <w:r>
          <w:rPr>
            <w:noProof/>
            <w:webHidden/>
          </w:rPr>
          <w:tab/>
        </w:r>
        <w:r>
          <w:rPr>
            <w:noProof/>
            <w:webHidden/>
          </w:rPr>
          <w:fldChar w:fldCharType="begin"/>
        </w:r>
        <w:r>
          <w:rPr>
            <w:noProof/>
            <w:webHidden/>
          </w:rPr>
          <w:instrText xml:space="preserve"> PAGEREF _Toc191026923 \h </w:instrText>
        </w:r>
        <w:r>
          <w:rPr>
            <w:noProof/>
            <w:webHidden/>
          </w:rPr>
        </w:r>
        <w:r>
          <w:rPr>
            <w:noProof/>
            <w:webHidden/>
          </w:rPr>
          <w:fldChar w:fldCharType="separate"/>
        </w:r>
        <w:r>
          <w:rPr>
            <w:noProof/>
            <w:webHidden/>
          </w:rPr>
          <w:t>60</w:t>
        </w:r>
        <w:r>
          <w:rPr>
            <w:noProof/>
            <w:webHidden/>
          </w:rPr>
          <w:fldChar w:fldCharType="end"/>
        </w:r>
      </w:hyperlink>
    </w:p>
    <w:p w14:paraId="30BC9084" w14:textId="104E492C" w:rsidR="00E23B5F" w:rsidRDefault="00E23B5F">
      <w:pPr>
        <w:pStyle w:val="TOC2"/>
        <w:tabs>
          <w:tab w:val="left" w:pos="960"/>
          <w:tab w:val="right" w:leader="dot" w:pos="9350"/>
        </w:tabs>
        <w:rPr>
          <w:rFonts w:eastAsiaTheme="minorEastAsia"/>
          <w:noProof/>
          <w:sz w:val="24"/>
          <w:szCs w:val="24"/>
          <w:lang w:eastAsia="zh-CN"/>
        </w:rPr>
      </w:pPr>
      <w:hyperlink w:anchor="_Toc191026924" w:history="1">
        <w:r w:rsidRPr="00ED06AF">
          <w:rPr>
            <w:rStyle w:val="Hyperlink"/>
            <w:noProof/>
          </w:rPr>
          <w:t>3.5</w:t>
        </w:r>
        <w:r>
          <w:rPr>
            <w:rFonts w:eastAsiaTheme="minorEastAsia"/>
            <w:noProof/>
            <w:sz w:val="24"/>
            <w:szCs w:val="24"/>
            <w:lang w:eastAsia="zh-CN"/>
          </w:rPr>
          <w:tab/>
        </w:r>
        <w:r w:rsidRPr="00ED06AF">
          <w:rPr>
            <w:rStyle w:val="Hyperlink"/>
            <w:noProof/>
          </w:rPr>
          <w:t>Summary: Navigate Business Judgment Fallacies</w:t>
        </w:r>
        <w:r>
          <w:rPr>
            <w:noProof/>
            <w:webHidden/>
          </w:rPr>
          <w:tab/>
        </w:r>
        <w:r>
          <w:rPr>
            <w:noProof/>
            <w:webHidden/>
          </w:rPr>
          <w:fldChar w:fldCharType="begin"/>
        </w:r>
        <w:r>
          <w:rPr>
            <w:noProof/>
            <w:webHidden/>
          </w:rPr>
          <w:instrText xml:space="preserve"> PAGEREF _Toc191026924 \h </w:instrText>
        </w:r>
        <w:r>
          <w:rPr>
            <w:noProof/>
            <w:webHidden/>
          </w:rPr>
        </w:r>
        <w:r>
          <w:rPr>
            <w:noProof/>
            <w:webHidden/>
          </w:rPr>
          <w:fldChar w:fldCharType="separate"/>
        </w:r>
        <w:r>
          <w:rPr>
            <w:noProof/>
            <w:webHidden/>
          </w:rPr>
          <w:t>63</w:t>
        </w:r>
        <w:r>
          <w:rPr>
            <w:noProof/>
            <w:webHidden/>
          </w:rPr>
          <w:fldChar w:fldCharType="end"/>
        </w:r>
      </w:hyperlink>
    </w:p>
    <w:p w14:paraId="4D00E50E" w14:textId="6DE444E5" w:rsidR="00E23B5F" w:rsidRDefault="00E23B5F">
      <w:pPr>
        <w:pStyle w:val="TOC1"/>
        <w:tabs>
          <w:tab w:val="left" w:pos="480"/>
          <w:tab w:val="right" w:leader="dot" w:pos="9350"/>
        </w:tabs>
        <w:rPr>
          <w:rFonts w:eastAsiaTheme="minorEastAsia"/>
          <w:noProof/>
          <w:sz w:val="24"/>
          <w:szCs w:val="24"/>
          <w:lang w:eastAsia="zh-CN"/>
        </w:rPr>
      </w:pPr>
      <w:hyperlink w:anchor="_Toc191026925" w:history="1">
        <w:r w:rsidRPr="00ED06AF">
          <w:rPr>
            <w:rStyle w:val="Hyperlink"/>
            <w:noProof/>
          </w:rPr>
          <w:t>4</w:t>
        </w:r>
        <w:r>
          <w:rPr>
            <w:rFonts w:eastAsiaTheme="minorEastAsia"/>
            <w:noProof/>
            <w:sz w:val="24"/>
            <w:szCs w:val="24"/>
            <w:lang w:eastAsia="zh-CN"/>
          </w:rPr>
          <w:tab/>
        </w:r>
        <w:r w:rsidRPr="00ED06AF">
          <w:rPr>
            <w:rStyle w:val="Hyperlink"/>
            <w:noProof/>
          </w:rPr>
          <w:t>Thrive in Competitive Landscapes: Make Decisions in Negotiation</w:t>
        </w:r>
        <w:r>
          <w:rPr>
            <w:noProof/>
            <w:webHidden/>
          </w:rPr>
          <w:tab/>
        </w:r>
        <w:r>
          <w:rPr>
            <w:noProof/>
            <w:webHidden/>
          </w:rPr>
          <w:fldChar w:fldCharType="begin"/>
        </w:r>
        <w:r>
          <w:rPr>
            <w:noProof/>
            <w:webHidden/>
          </w:rPr>
          <w:instrText xml:space="preserve"> PAGEREF _Toc191026925 \h </w:instrText>
        </w:r>
        <w:r>
          <w:rPr>
            <w:noProof/>
            <w:webHidden/>
          </w:rPr>
        </w:r>
        <w:r>
          <w:rPr>
            <w:noProof/>
            <w:webHidden/>
          </w:rPr>
          <w:fldChar w:fldCharType="separate"/>
        </w:r>
        <w:r>
          <w:rPr>
            <w:noProof/>
            <w:webHidden/>
          </w:rPr>
          <w:t>64</w:t>
        </w:r>
        <w:r>
          <w:rPr>
            <w:noProof/>
            <w:webHidden/>
          </w:rPr>
          <w:fldChar w:fldCharType="end"/>
        </w:r>
      </w:hyperlink>
    </w:p>
    <w:p w14:paraId="36602067" w14:textId="4362E000" w:rsidR="00E23B5F" w:rsidRDefault="00E23B5F">
      <w:pPr>
        <w:pStyle w:val="TOC2"/>
        <w:tabs>
          <w:tab w:val="left" w:pos="960"/>
          <w:tab w:val="right" w:leader="dot" w:pos="9350"/>
        </w:tabs>
        <w:rPr>
          <w:rFonts w:eastAsiaTheme="minorEastAsia"/>
          <w:noProof/>
          <w:sz w:val="24"/>
          <w:szCs w:val="24"/>
          <w:lang w:eastAsia="zh-CN"/>
        </w:rPr>
      </w:pPr>
      <w:hyperlink w:anchor="_Toc191026926" w:history="1">
        <w:r w:rsidRPr="00ED06AF">
          <w:rPr>
            <w:rStyle w:val="Hyperlink"/>
            <w:noProof/>
          </w:rPr>
          <w:t>4.1</w:t>
        </w:r>
        <w:r>
          <w:rPr>
            <w:rFonts w:eastAsiaTheme="minorEastAsia"/>
            <w:noProof/>
            <w:sz w:val="24"/>
            <w:szCs w:val="24"/>
            <w:lang w:eastAsia="zh-CN"/>
          </w:rPr>
          <w:tab/>
        </w:r>
        <w:r w:rsidRPr="00ED06AF">
          <w:rPr>
            <w:rStyle w:val="Hyperlink"/>
            <w:noProof/>
          </w:rPr>
          <w:t>Excessive Competition</w:t>
        </w:r>
        <w:r>
          <w:rPr>
            <w:noProof/>
            <w:webHidden/>
          </w:rPr>
          <w:tab/>
        </w:r>
        <w:r>
          <w:rPr>
            <w:noProof/>
            <w:webHidden/>
          </w:rPr>
          <w:fldChar w:fldCharType="begin"/>
        </w:r>
        <w:r>
          <w:rPr>
            <w:noProof/>
            <w:webHidden/>
          </w:rPr>
          <w:instrText xml:space="preserve"> PAGEREF _Toc191026926 \h </w:instrText>
        </w:r>
        <w:r>
          <w:rPr>
            <w:noProof/>
            <w:webHidden/>
          </w:rPr>
        </w:r>
        <w:r>
          <w:rPr>
            <w:noProof/>
            <w:webHidden/>
          </w:rPr>
          <w:fldChar w:fldCharType="separate"/>
        </w:r>
        <w:r>
          <w:rPr>
            <w:noProof/>
            <w:webHidden/>
          </w:rPr>
          <w:t>64</w:t>
        </w:r>
        <w:r>
          <w:rPr>
            <w:noProof/>
            <w:webHidden/>
          </w:rPr>
          <w:fldChar w:fldCharType="end"/>
        </w:r>
      </w:hyperlink>
    </w:p>
    <w:p w14:paraId="20C7F2DA" w14:textId="6025F9C8" w:rsidR="00E23B5F" w:rsidRDefault="00E23B5F">
      <w:pPr>
        <w:pStyle w:val="TOC2"/>
        <w:tabs>
          <w:tab w:val="left" w:pos="960"/>
          <w:tab w:val="right" w:leader="dot" w:pos="9350"/>
        </w:tabs>
        <w:rPr>
          <w:rFonts w:eastAsiaTheme="minorEastAsia"/>
          <w:noProof/>
          <w:sz w:val="24"/>
          <w:szCs w:val="24"/>
          <w:lang w:eastAsia="zh-CN"/>
        </w:rPr>
      </w:pPr>
      <w:hyperlink w:anchor="_Toc191026927" w:history="1">
        <w:r w:rsidRPr="00ED06AF">
          <w:rPr>
            <w:rStyle w:val="Hyperlink"/>
            <w:noProof/>
          </w:rPr>
          <w:t>4.2</w:t>
        </w:r>
        <w:r>
          <w:rPr>
            <w:rFonts w:eastAsiaTheme="minorEastAsia"/>
            <w:noProof/>
            <w:sz w:val="24"/>
            <w:szCs w:val="24"/>
            <w:lang w:eastAsia="zh-CN"/>
          </w:rPr>
          <w:tab/>
        </w:r>
        <w:r w:rsidRPr="00ED06AF">
          <w:rPr>
            <w:rStyle w:val="Hyperlink"/>
            <w:noProof/>
          </w:rPr>
          <w:t>Winner’s Curse</w:t>
        </w:r>
        <w:r>
          <w:rPr>
            <w:noProof/>
            <w:webHidden/>
          </w:rPr>
          <w:tab/>
        </w:r>
        <w:r>
          <w:rPr>
            <w:noProof/>
            <w:webHidden/>
          </w:rPr>
          <w:fldChar w:fldCharType="begin"/>
        </w:r>
        <w:r>
          <w:rPr>
            <w:noProof/>
            <w:webHidden/>
          </w:rPr>
          <w:instrText xml:space="preserve"> PAGEREF _Toc191026927 \h </w:instrText>
        </w:r>
        <w:r>
          <w:rPr>
            <w:noProof/>
            <w:webHidden/>
          </w:rPr>
        </w:r>
        <w:r>
          <w:rPr>
            <w:noProof/>
            <w:webHidden/>
          </w:rPr>
          <w:fldChar w:fldCharType="separate"/>
        </w:r>
        <w:r>
          <w:rPr>
            <w:noProof/>
            <w:webHidden/>
          </w:rPr>
          <w:t>65</w:t>
        </w:r>
        <w:r>
          <w:rPr>
            <w:noProof/>
            <w:webHidden/>
          </w:rPr>
          <w:fldChar w:fldCharType="end"/>
        </w:r>
      </w:hyperlink>
    </w:p>
    <w:p w14:paraId="31BC4A19" w14:textId="42B8F605" w:rsidR="00E23B5F" w:rsidRDefault="00E23B5F">
      <w:pPr>
        <w:pStyle w:val="TOC2"/>
        <w:tabs>
          <w:tab w:val="left" w:pos="960"/>
          <w:tab w:val="right" w:leader="dot" w:pos="9350"/>
        </w:tabs>
        <w:rPr>
          <w:rFonts w:eastAsiaTheme="minorEastAsia"/>
          <w:noProof/>
          <w:sz w:val="24"/>
          <w:szCs w:val="24"/>
          <w:lang w:eastAsia="zh-CN"/>
        </w:rPr>
      </w:pPr>
      <w:hyperlink w:anchor="_Toc191026928" w:history="1">
        <w:r w:rsidRPr="00ED06AF">
          <w:rPr>
            <w:rStyle w:val="Hyperlink"/>
            <w:noProof/>
          </w:rPr>
          <w:t>4.3</w:t>
        </w:r>
        <w:r>
          <w:rPr>
            <w:rFonts w:eastAsiaTheme="minorEastAsia"/>
            <w:noProof/>
            <w:sz w:val="24"/>
            <w:szCs w:val="24"/>
            <w:lang w:eastAsia="zh-CN"/>
          </w:rPr>
          <w:tab/>
        </w:r>
        <w:r w:rsidRPr="00ED06AF">
          <w:rPr>
            <w:rStyle w:val="Hyperlink"/>
            <w:noProof/>
          </w:rPr>
          <w:t>Game Theory: A Strategy for Win-Win Competition</w:t>
        </w:r>
        <w:r>
          <w:rPr>
            <w:noProof/>
            <w:webHidden/>
          </w:rPr>
          <w:tab/>
        </w:r>
        <w:r>
          <w:rPr>
            <w:noProof/>
            <w:webHidden/>
          </w:rPr>
          <w:fldChar w:fldCharType="begin"/>
        </w:r>
        <w:r>
          <w:rPr>
            <w:noProof/>
            <w:webHidden/>
          </w:rPr>
          <w:instrText xml:space="preserve"> PAGEREF _Toc191026928 \h </w:instrText>
        </w:r>
        <w:r>
          <w:rPr>
            <w:noProof/>
            <w:webHidden/>
          </w:rPr>
        </w:r>
        <w:r>
          <w:rPr>
            <w:noProof/>
            <w:webHidden/>
          </w:rPr>
          <w:fldChar w:fldCharType="separate"/>
        </w:r>
        <w:r>
          <w:rPr>
            <w:noProof/>
            <w:webHidden/>
          </w:rPr>
          <w:t>65</w:t>
        </w:r>
        <w:r>
          <w:rPr>
            <w:noProof/>
            <w:webHidden/>
          </w:rPr>
          <w:fldChar w:fldCharType="end"/>
        </w:r>
      </w:hyperlink>
    </w:p>
    <w:p w14:paraId="1F735DB4" w14:textId="1BFEEBD9" w:rsidR="00E23B5F" w:rsidRDefault="00E23B5F">
      <w:pPr>
        <w:pStyle w:val="TOC2"/>
        <w:tabs>
          <w:tab w:val="left" w:pos="960"/>
          <w:tab w:val="right" w:leader="dot" w:pos="9350"/>
        </w:tabs>
        <w:rPr>
          <w:rFonts w:eastAsiaTheme="minorEastAsia"/>
          <w:noProof/>
          <w:sz w:val="24"/>
          <w:szCs w:val="24"/>
          <w:lang w:eastAsia="zh-CN"/>
        </w:rPr>
      </w:pPr>
      <w:hyperlink w:anchor="_Toc191026929" w:history="1">
        <w:r w:rsidRPr="00ED06AF">
          <w:rPr>
            <w:rStyle w:val="Hyperlink"/>
            <w:noProof/>
          </w:rPr>
          <w:t>4.4</w:t>
        </w:r>
        <w:r>
          <w:rPr>
            <w:rFonts w:eastAsiaTheme="minorEastAsia"/>
            <w:noProof/>
            <w:sz w:val="24"/>
            <w:szCs w:val="24"/>
            <w:lang w:eastAsia="zh-CN"/>
          </w:rPr>
          <w:tab/>
        </w:r>
        <w:r w:rsidRPr="00ED06AF">
          <w:rPr>
            <w:rStyle w:val="Hyperlink"/>
            <w:noProof/>
          </w:rPr>
          <w:t>Prepare for Data-Driven Negotiation</w:t>
        </w:r>
        <w:r>
          <w:rPr>
            <w:noProof/>
            <w:webHidden/>
          </w:rPr>
          <w:tab/>
        </w:r>
        <w:r>
          <w:rPr>
            <w:noProof/>
            <w:webHidden/>
          </w:rPr>
          <w:fldChar w:fldCharType="begin"/>
        </w:r>
        <w:r>
          <w:rPr>
            <w:noProof/>
            <w:webHidden/>
          </w:rPr>
          <w:instrText xml:space="preserve"> PAGEREF _Toc191026929 \h </w:instrText>
        </w:r>
        <w:r>
          <w:rPr>
            <w:noProof/>
            <w:webHidden/>
          </w:rPr>
        </w:r>
        <w:r>
          <w:rPr>
            <w:noProof/>
            <w:webHidden/>
          </w:rPr>
          <w:fldChar w:fldCharType="separate"/>
        </w:r>
        <w:r>
          <w:rPr>
            <w:noProof/>
            <w:webHidden/>
          </w:rPr>
          <w:t>66</w:t>
        </w:r>
        <w:r>
          <w:rPr>
            <w:noProof/>
            <w:webHidden/>
          </w:rPr>
          <w:fldChar w:fldCharType="end"/>
        </w:r>
      </w:hyperlink>
    </w:p>
    <w:p w14:paraId="27DE73D8" w14:textId="34926E0F" w:rsidR="00E23B5F" w:rsidRDefault="00E23B5F">
      <w:pPr>
        <w:pStyle w:val="TOC2"/>
        <w:tabs>
          <w:tab w:val="left" w:pos="960"/>
          <w:tab w:val="right" w:leader="dot" w:pos="9350"/>
        </w:tabs>
        <w:rPr>
          <w:rFonts w:eastAsiaTheme="minorEastAsia"/>
          <w:noProof/>
          <w:sz w:val="24"/>
          <w:szCs w:val="24"/>
          <w:lang w:eastAsia="zh-CN"/>
        </w:rPr>
      </w:pPr>
      <w:hyperlink w:anchor="_Toc191026930" w:history="1">
        <w:r w:rsidRPr="00ED06AF">
          <w:rPr>
            <w:rStyle w:val="Hyperlink"/>
            <w:noProof/>
          </w:rPr>
          <w:t>4.5</w:t>
        </w:r>
        <w:r>
          <w:rPr>
            <w:rFonts w:eastAsiaTheme="minorEastAsia"/>
            <w:noProof/>
            <w:sz w:val="24"/>
            <w:szCs w:val="24"/>
            <w:lang w:eastAsia="zh-CN"/>
          </w:rPr>
          <w:tab/>
        </w:r>
        <w:r w:rsidRPr="00ED06AF">
          <w:rPr>
            <w:rStyle w:val="Hyperlink"/>
            <w:noProof/>
          </w:rPr>
          <w:t>Distributive and Integrative Negotiation Approaches</w:t>
        </w:r>
        <w:r>
          <w:rPr>
            <w:noProof/>
            <w:webHidden/>
          </w:rPr>
          <w:tab/>
        </w:r>
        <w:r>
          <w:rPr>
            <w:noProof/>
            <w:webHidden/>
          </w:rPr>
          <w:fldChar w:fldCharType="begin"/>
        </w:r>
        <w:r>
          <w:rPr>
            <w:noProof/>
            <w:webHidden/>
          </w:rPr>
          <w:instrText xml:space="preserve"> PAGEREF _Toc191026930 \h </w:instrText>
        </w:r>
        <w:r>
          <w:rPr>
            <w:noProof/>
            <w:webHidden/>
          </w:rPr>
        </w:r>
        <w:r>
          <w:rPr>
            <w:noProof/>
            <w:webHidden/>
          </w:rPr>
          <w:fldChar w:fldCharType="separate"/>
        </w:r>
        <w:r>
          <w:rPr>
            <w:noProof/>
            <w:webHidden/>
          </w:rPr>
          <w:t>67</w:t>
        </w:r>
        <w:r>
          <w:rPr>
            <w:noProof/>
            <w:webHidden/>
          </w:rPr>
          <w:fldChar w:fldCharType="end"/>
        </w:r>
      </w:hyperlink>
    </w:p>
    <w:p w14:paraId="1C0EFAD1" w14:textId="5C7CD8C8" w:rsidR="00E23B5F" w:rsidRDefault="00E23B5F">
      <w:pPr>
        <w:pStyle w:val="TOC2"/>
        <w:tabs>
          <w:tab w:val="left" w:pos="960"/>
          <w:tab w:val="right" w:leader="dot" w:pos="9350"/>
        </w:tabs>
        <w:rPr>
          <w:rFonts w:eastAsiaTheme="minorEastAsia"/>
          <w:noProof/>
          <w:sz w:val="24"/>
          <w:szCs w:val="24"/>
          <w:lang w:eastAsia="zh-CN"/>
        </w:rPr>
      </w:pPr>
      <w:hyperlink w:anchor="_Toc191026931" w:history="1">
        <w:r w:rsidRPr="00ED06AF">
          <w:rPr>
            <w:rStyle w:val="Hyperlink"/>
            <w:noProof/>
          </w:rPr>
          <w:t>4.6</w:t>
        </w:r>
        <w:r>
          <w:rPr>
            <w:rFonts w:eastAsiaTheme="minorEastAsia"/>
            <w:noProof/>
            <w:sz w:val="24"/>
            <w:szCs w:val="24"/>
            <w:lang w:eastAsia="zh-CN"/>
          </w:rPr>
          <w:tab/>
        </w:r>
        <w:r w:rsidRPr="00ED06AF">
          <w:rPr>
            <w:rStyle w:val="Hyperlink"/>
            <w:noProof/>
          </w:rPr>
          <w:t>Best Practices for Integrative Negotiation</w:t>
        </w:r>
        <w:r>
          <w:rPr>
            <w:noProof/>
            <w:webHidden/>
          </w:rPr>
          <w:tab/>
        </w:r>
        <w:r>
          <w:rPr>
            <w:noProof/>
            <w:webHidden/>
          </w:rPr>
          <w:fldChar w:fldCharType="begin"/>
        </w:r>
        <w:r>
          <w:rPr>
            <w:noProof/>
            <w:webHidden/>
          </w:rPr>
          <w:instrText xml:space="preserve"> PAGEREF _Toc191026931 \h </w:instrText>
        </w:r>
        <w:r>
          <w:rPr>
            <w:noProof/>
            <w:webHidden/>
          </w:rPr>
        </w:r>
        <w:r>
          <w:rPr>
            <w:noProof/>
            <w:webHidden/>
          </w:rPr>
          <w:fldChar w:fldCharType="separate"/>
        </w:r>
        <w:r>
          <w:rPr>
            <w:noProof/>
            <w:webHidden/>
          </w:rPr>
          <w:t>70</w:t>
        </w:r>
        <w:r>
          <w:rPr>
            <w:noProof/>
            <w:webHidden/>
          </w:rPr>
          <w:fldChar w:fldCharType="end"/>
        </w:r>
      </w:hyperlink>
    </w:p>
    <w:p w14:paraId="05B8D322" w14:textId="2E313C0E" w:rsidR="00E23B5F" w:rsidRDefault="00E23B5F">
      <w:pPr>
        <w:pStyle w:val="TOC2"/>
        <w:tabs>
          <w:tab w:val="left" w:pos="960"/>
          <w:tab w:val="right" w:leader="dot" w:pos="9350"/>
        </w:tabs>
        <w:rPr>
          <w:rFonts w:eastAsiaTheme="minorEastAsia"/>
          <w:noProof/>
          <w:sz w:val="24"/>
          <w:szCs w:val="24"/>
          <w:lang w:eastAsia="zh-CN"/>
        </w:rPr>
      </w:pPr>
      <w:hyperlink w:anchor="_Toc191026932" w:history="1">
        <w:r w:rsidRPr="00ED06AF">
          <w:rPr>
            <w:rStyle w:val="Hyperlink"/>
            <w:noProof/>
          </w:rPr>
          <w:t>4.7</w:t>
        </w:r>
        <w:r>
          <w:rPr>
            <w:rFonts w:eastAsiaTheme="minorEastAsia"/>
            <w:noProof/>
            <w:sz w:val="24"/>
            <w:szCs w:val="24"/>
            <w:lang w:eastAsia="zh-CN"/>
          </w:rPr>
          <w:tab/>
        </w:r>
        <w:r w:rsidRPr="00ED06AF">
          <w:rPr>
            <w:rStyle w:val="Hyperlink"/>
            <w:noProof/>
          </w:rPr>
          <w:t>A Strategic Path to Integrative Negotiation</w:t>
        </w:r>
        <w:r>
          <w:rPr>
            <w:noProof/>
            <w:webHidden/>
          </w:rPr>
          <w:tab/>
        </w:r>
        <w:r>
          <w:rPr>
            <w:noProof/>
            <w:webHidden/>
          </w:rPr>
          <w:fldChar w:fldCharType="begin"/>
        </w:r>
        <w:r>
          <w:rPr>
            <w:noProof/>
            <w:webHidden/>
          </w:rPr>
          <w:instrText xml:space="preserve"> PAGEREF _Toc191026932 \h </w:instrText>
        </w:r>
        <w:r>
          <w:rPr>
            <w:noProof/>
            <w:webHidden/>
          </w:rPr>
        </w:r>
        <w:r>
          <w:rPr>
            <w:noProof/>
            <w:webHidden/>
          </w:rPr>
          <w:fldChar w:fldCharType="separate"/>
        </w:r>
        <w:r>
          <w:rPr>
            <w:noProof/>
            <w:webHidden/>
          </w:rPr>
          <w:t>72</w:t>
        </w:r>
        <w:r>
          <w:rPr>
            <w:noProof/>
            <w:webHidden/>
          </w:rPr>
          <w:fldChar w:fldCharType="end"/>
        </w:r>
      </w:hyperlink>
    </w:p>
    <w:p w14:paraId="1E888377" w14:textId="616C212C" w:rsidR="00E23B5F" w:rsidRDefault="00E23B5F">
      <w:pPr>
        <w:pStyle w:val="TOC1"/>
        <w:tabs>
          <w:tab w:val="right" w:leader="dot" w:pos="9350"/>
        </w:tabs>
        <w:rPr>
          <w:rFonts w:eastAsiaTheme="minorEastAsia"/>
          <w:noProof/>
          <w:sz w:val="24"/>
          <w:szCs w:val="24"/>
          <w:lang w:eastAsia="zh-CN"/>
        </w:rPr>
      </w:pPr>
      <w:hyperlink w:anchor="_Toc191026933" w:history="1">
        <w:r w:rsidRPr="00ED06AF">
          <w:rPr>
            <w:rStyle w:val="Hyperlink"/>
            <w:noProof/>
          </w:rPr>
          <w:t>Part III Tools for Uncertainty Analysis</w:t>
        </w:r>
        <w:r>
          <w:rPr>
            <w:noProof/>
            <w:webHidden/>
          </w:rPr>
          <w:tab/>
        </w:r>
        <w:r>
          <w:rPr>
            <w:noProof/>
            <w:webHidden/>
          </w:rPr>
          <w:fldChar w:fldCharType="begin"/>
        </w:r>
        <w:r>
          <w:rPr>
            <w:noProof/>
            <w:webHidden/>
          </w:rPr>
          <w:instrText xml:space="preserve"> PAGEREF _Toc191026933 \h </w:instrText>
        </w:r>
        <w:r>
          <w:rPr>
            <w:noProof/>
            <w:webHidden/>
          </w:rPr>
        </w:r>
        <w:r>
          <w:rPr>
            <w:noProof/>
            <w:webHidden/>
          </w:rPr>
          <w:fldChar w:fldCharType="separate"/>
        </w:r>
        <w:r>
          <w:rPr>
            <w:noProof/>
            <w:webHidden/>
          </w:rPr>
          <w:t>75</w:t>
        </w:r>
        <w:r>
          <w:rPr>
            <w:noProof/>
            <w:webHidden/>
          </w:rPr>
          <w:fldChar w:fldCharType="end"/>
        </w:r>
      </w:hyperlink>
    </w:p>
    <w:p w14:paraId="762823F9" w14:textId="33E08297" w:rsidR="00E23B5F" w:rsidRDefault="00E23B5F">
      <w:pPr>
        <w:pStyle w:val="TOC1"/>
        <w:tabs>
          <w:tab w:val="left" w:pos="480"/>
          <w:tab w:val="right" w:leader="dot" w:pos="9350"/>
        </w:tabs>
        <w:rPr>
          <w:rFonts w:eastAsiaTheme="minorEastAsia"/>
          <w:noProof/>
          <w:sz w:val="24"/>
          <w:szCs w:val="24"/>
          <w:lang w:eastAsia="zh-CN"/>
        </w:rPr>
      </w:pPr>
      <w:hyperlink w:anchor="_Toc191026934" w:history="1">
        <w:r w:rsidRPr="00ED06AF">
          <w:rPr>
            <w:rStyle w:val="Hyperlink"/>
            <w:noProof/>
          </w:rPr>
          <w:t>5</w:t>
        </w:r>
        <w:r>
          <w:rPr>
            <w:rFonts w:eastAsiaTheme="minorEastAsia"/>
            <w:noProof/>
            <w:sz w:val="24"/>
            <w:szCs w:val="24"/>
            <w:lang w:eastAsia="zh-CN"/>
          </w:rPr>
          <w:tab/>
        </w:r>
        <w:r w:rsidRPr="00ED06AF">
          <w:rPr>
            <w:rStyle w:val="Hyperlink"/>
            <w:noProof/>
          </w:rPr>
          <w:t>Decision Trees:  Visualize Uncertainty For Decision-Making</w:t>
        </w:r>
        <w:r>
          <w:rPr>
            <w:noProof/>
            <w:webHidden/>
          </w:rPr>
          <w:tab/>
        </w:r>
        <w:r>
          <w:rPr>
            <w:noProof/>
            <w:webHidden/>
          </w:rPr>
          <w:fldChar w:fldCharType="begin"/>
        </w:r>
        <w:r>
          <w:rPr>
            <w:noProof/>
            <w:webHidden/>
          </w:rPr>
          <w:instrText xml:space="preserve"> PAGEREF _Toc191026934 \h </w:instrText>
        </w:r>
        <w:r>
          <w:rPr>
            <w:noProof/>
            <w:webHidden/>
          </w:rPr>
        </w:r>
        <w:r>
          <w:rPr>
            <w:noProof/>
            <w:webHidden/>
          </w:rPr>
          <w:fldChar w:fldCharType="separate"/>
        </w:r>
        <w:r>
          <w:rPr>
            <w:noProof/>
            <w:webHidden/>
          </w:rPr>
          <w:t>76</w:t>
        </w:r>
        <w:r>
          <w:rPr>
            <w:noProof/>
            <w:webHidden/>
          </w:rPr>
          <w:fldChar w:fldCharType="end"/>
        </w:r>
      </w:hyperlink>
    </w:p>
    <w:p w14:paraId="7CF90D0D" w14:textId="4C8590D1" w:rsidR="00E23B5F" w:rsidRDefault="00E23B5F">
      <w:pPr>
        <w:pStyle w:val="TOC2"/>
        <w:tabs>
          <w:tab w:val="left" w:pos="960"/>
          <w:tab w:val="right" w:leader="dot" w:pos="9350"/>
        </w:tabs>
        <w:rPr>
          <w:rFonts w:eastAsiaTheme="minorEastAsia"/>
          <w:noProof/>
          <w:sz w:val="24"/>
          <w:szCs w:val="24"/>
          <w:lang w:eastAsia="zh-CN"/>
        </w:rPr>
      </w:pPr>
      <w:hyperlink w:anchor="_Toc191026935" w:history="1">
        <w:r w:rsidRPr="00ED06AF">
          <w:rPr>
            <w:rStyle w:val="Hyperlink"/>
            <w:noProof/>
          </w:rPr>
          <w:t>5.1</w:t>
        </w:r>
        <w:r>
          <w:rPr>
            <w:rFonts w:eastAsiaTheme="minorEastAsia"/>
            <w:noProof/>
            <w:sz w:val="24"/>
            <w:szCs w:val="24"/>
            <w:lang w:eastAsia="zh-CN"/>
          </w:rPr>
          <w:tab/>
        </w:r>
        <w:r w:rsidRPr="00ED06AF">
          <w:rPr>
            <w:rStyle w:val="Hyperlink"/>
            <w:noProof/>
          </w:rPr>
          <w:t>Decision Trees Introduction</w:t>
        </w:r>
        <w:r>
          <w:rPr>
            <w:noProof/>
            <w:webHidden/>
          </w:rPr>
          <w:tab/>
        </w:r>
        <w:r>
          <w:rPr>
            <w:noProof/>
            <w:webHidden/>
          </w:rPr>
          <w:fldChar w:fldCharType="begin"/>
        </w:r>
        <w:r>
          <w:rPr>
            <w:noProof/>
            <w:webHidden/>
          </w:rPr>
          <w:instrText xml:space="preserve"> PAGEREF _Toc191026935 \h </w:instrText>
        </w:r>
        <w:r>
          <w:rPr>
            <w:noProof/>
            <w:webHidden/>
          </w:rPr>
        </w:r>
        <w:r>
          <w:rPr>
            <w:noProof/>
            <w:webHidden/>
          </w:rPr>
          <w:fldChar w:fldCharType="separate"/>
        </w:r>
        <w:r>
          <w:rPr>
            <w:noProof/>
            <w:webHidden/>
          </w:rPr>
          <w:t>76</w:t>
        </w:r>
        <w:r>
          <w:rPr>
            <w:noProof/>
            <w:webHidden/>
          </w:rPr>
          <w:fldChar w:fldCharType="end"/>
        </w:r>
      </w:hyperlink>
    </w:p>
    <w:p w14:paraId="7976A6D4" w14:textId="7EDABBA9" w:rsidR="00E23B5F" w:rsidRDefault="00E23B5F">
      <w:pPr>
        <w:pStyle w:val="TOC2"/>
        <w:tabs>
          <w:tab w:val="left" w:pos="960"/>
          <w:tab w:val="right" w:leader="dot" w:pos="9350"/>
        </w:tabs>
        <w:rPr>
          <w:rFonts w:eastAsiaTheme="minorEastAsia"/>
          <w:noProof/>
          <w:sz w:val="24"/>
          <w:szCs w:val="24"/>
          <w:lang w:eastAsia="zh-CN"/>
        </w:rPr>
      </w:pPr>
      <w:hyperlink w:anchor="_Toc191026936" w:history="1">
        <w:r w:rsidRPr="00ED06AF">
          <w:rPr>
            <w:rStyle w:val="Hyperlink"/>
            <w:noProof/>
          </w:rPr>
          <w:t>5.2</w:t>
        </w:r>
        <w:r>
          <w:rPr>
            <w:rFonts w:eastAsiaTheme="minorEastAsia"/>
            <w:noProof/>
            <w:sz w:val="24"/>
            <w:szCs w:val="24"/>
            <w:lang w:eastAsia="zh-CN"/>
          </w:rPr>
          <w:tab/>
        </w:r>
        <w:r w:rsidRPr="00ED06AF">
          <w:rPr>
            <w:rStyle w:val="Hyperlink"/>
            <w:noProof/>
          </w:rPr>
          <w:t>Understand Expected Value in Uncertainty Evaluation</w:t>
        </w:r>
        <w:r>
          <w:rPr>
            <w:noProof/>
            <w:webHidden/>
          </w:rPr>
          <w:tab/>
        </w:r>
        <w:r>
          <w:rPr>
            <w:noProof/>
            <w:webHidden/>
          </w:rPr>
          <w:fldChar w:fldCharType="begin"/>
        </w:r>
        <w:r>
          <w:rPr>
            <w:noProof/>
            <w:webHidden/>
          </w:rPr>
          <w:instrText xml:space="preserve"> PAGEREF _Toc191026936 \h </w:instrText>
        </w:r>
        <w:r>
          <w:rPr>
            <w:noProof/>
            <w:webHidden/>
          </w:rPr>
        </w:r>
        <w:r>
          <w:rPr>
            <w:noProof/>
            <w:webHidden/>
          </w:rPr>
          <w:fldChar w:fldCharType="separate"/>
        </w:r>
        <w:r>
          <w:rPr>
            <w:noProof/>
            <w:webHidden/>
          </w:rPr>
          <w:t>77</w:t>
        </w:r>
        <w:r>
          <w:rPr>
            <w:noProof/>
            <w:webHidden/>
          </w:rPr>
          <w:fldChar w:fldCharType="end"/>
        </w:r>
      </w:hyperlink>
    </w:p>
    <w:p w14:paraId="57EAFDA3" w14:textId="75538448" w:rsidR="00E23B5F" w:rsidRDefault="00E23B5F">
      <w:pPr>
        <w:pStyle w:val="TOC2"/>
        <w:tabs>
          <w:tab w:val="left" w:pos="960"/>
          <w:tab w:val="right" w:leader="dot" w:pos="9350"/>
        </w:tabs>
        <w:rPr>
          <w:rFonts w:eastAsiaTheme="minorEastAsia"/>
          <w:noProof/>
          <w:sz w:val="24"/>
          <w:szCs w:val="24"/>
          <w:lang w:eastAsia="zh-CN"/>
        </w:rPr>
      </w:pPr>
      <w:hyperlink w:anchor="_Toc191026937" w:history="1">
        <w:r w:rsidRPr="00ED06AF">
          <w:rPr>
            <w:rStyle w:val="Hyperlink"/>
            <w:noProof/>
          </w:rPr>
          <w:t>5.3</w:t>
        </w:r>
        <w:r>
          <w:rPr>
            <w:rFonts w:eastAsiaTheme="minorEastAsia"/>
            <w:noProof/>
            <w:sz w:val="24"/>
            <w:szCs w:val="24"/>
            <w:lang w:eastAsia="zh-CN"/>
          </w:rPr>
          <w:tab/>
        </w:r>
        <w:r w:rsidRPr="00ED06AF">
          <w:rPr>
            <w:rStyle w:val="Hyperlink"/>
            <w:noProof/>
          </w:rPr>
          <w:t>Visualize Options with Decision Trees</w:t>
        </w:r>
        <w:r>
          <w:rPr>
            <w:noProof/>
            <w:webHidden/>
          </w:rPr>
          <w:tab/>
        </w:r>
        <w:r>
          <w:rPr>
            <w:noProof/>
            <w:webHidden/>
          </w:rPr>
          <w:fldChar w:fldCharType="begin"/>
        </w:r>
        <w:r>
          <w:rPr>
            <w:noProof/>
            <w:webHidden/>
          </w:rPr>
          <w:instrText xml:space="preserve"> PAGEREF _Toc191026937 \h </w:instrText>
        </w:r>
        <w:r>
          <w:rPr>
            <w:noProof/>
            <w:webHidden/>
          </w:rPr>
        </w:r>
        <w:r>
          <w:rPr>
            <w:noProof/>
            <w:webHidden/>
          </w:rPr>
          <w:fldChar w:fldCharType="separate"/>
        </w:r>
        <w:r>
          <w:rPr>
            <w:noProof/>
            <w:webHidden/>
          </w:rPr>
          <w:t>78</w:t>
        </w:r>
        <w:r>
          <w:rPr>
            <w:noProof/>
            <w:webHidden/>
          </w:rPr>
          <w:fldChar w:fldCharType="end"/>
        </w:r>
      </w:hyperlink>
    </w:p>
    <w:p w14:paraId="6D114255" w14:textId="138163F9" w:rsidR="00E23B5F" w:rsidRDefault="00E23B5F">
      <w:pPr>
        <w:pStyle w:val="TOC2"/>
        <w:tabs>
          <w:tab w:val="left" w:pos="960"/>
          <w:tab w:val="right" w:leader="dot" w:pos="9350"/>
        </w:tabs>
        <w:rPr>
          <w:rFonts w:eastAsiaTheme="minorEastAsia"/>
          <w:noProof/>
          <w:sz w:val="24"/>
          <w:szCs w:val="24"/>
          <w:lang w:eastAsia="zh-CN"/>
        </w:rPr>
      </w:pPr>
      <w:hyperlink w:anchor="_Toc191026938" w:history="1">
        <w:r w:rsidRPr="00ED06AF">
          <w:rPr>
            <w:rStyle w:val="Hyperlink"/>
            <w:noProof/>
          </w:rPr>
          <w:t>5.4</w:t>
        </w:r>
        <w:r>
          <w:rPr>
            <w:rFonts w:eastAsiaTheme="minorEastAsia"/>
            <w:noProof/>
            <w:sz w:val="24"/>
            <w:szCs w:val="24"/>
            <w:lang w:eastAsia="zh-CN"/>
          </w:rPr>
          <w:tab/>
        </w:r>
        <w:r w:rsidRPr="00ED06AF">
          <w:rPr>
            <w:rStyle w:val="Hyperlink"/>
            <w:noProof/>
          </w:rPr>
          <w:t>Advanced Analytics: Decision Trees for Sequential Decisions</w:t>
        </w:r>
        <w:r>
          <w:rPr>
            <w:noProof/>
            <w:webHidden/>
          </w:rPr>
          <w:tab/>
        </w:r>
        <w:r>
          <w:rPr>
            <w:noProof/>
            <w:webHidden/>
          </w:rPr>
          <w:fldChar w:fldCharType="begin"/>
        </w:r>
        <w:r>
          <w:rPr>
            <w:noProof/>
            <w:webHidden/>
          </w:rPr>
          <w:instrText xml:space="preserve"> PAGEREF _Toc191026938 \h </w:instrText>
        </w:r>
        <w:r>
          <w:rPr>
            <w:noProof/>
            <w:webHidden/>
          </w:rPr>
        </w:r>
        <w:r>
          <w:rPr>
            <w:noProof/>
            <w:webHidden/>
          </w:rPr>
          <w:fldChar w:fldCharType="separate"/>
        </w:r>
        <w:r>
          <w:rPr>
            <w:noProof/>
            <w:webHidden/>
          </w:rPr>
          <w:t>81</w:t>
        </w:r>
        <w:r>
          <w:rPr>
            <w:noProof/>
            <w:webHidden/>
          </w:rPr>
          <w:fldChar w:fldCharType="end"/>
        </w:r>
      </w:hyperlink>
    </w:p>
    <w:p w14:paraId="4A2ABB34" w14:textId="6FDC6982" w:rsidR="00E23B5F" w:rsidRDefault="00E23B5F">
      <w:pPr>
        <w:pStyle w:val="TOC2"/>
        <w:tabs>
          <w:tab w:val="left" w:pos="960"/>
          <w:tab w:val="right" w:leader="dot" w:pos="9350"/>
        </w:tabs>
        <w:rPr>
          <w:rFonts w:eastAsiaTheme="minorEastAsia"/>
          <w:noProof/>
          <w:sz w:val="24"/>
          <w:szCs w:val="24"/>
          <w:lang w:eastAsia="zh-CN"/>
        </w:rPr>
      </w:pPr>
      <w:hyperlink w:anchor="_Toc191026939" w:history="1">
        <w:r w:rsidRPr="00ED06AF">
          <w:rPr>
            <w:rStyle w:val="Hyperlink"/>
            <w:noProof/>
          </w:rPr>
          <w:t>5.5</w:t>
        </w:r>
        <w:r>
          <w:rPr>
            <w:rFonts w:eastAsiaTheme="minorEastAsia"/>
            <w:noProof/>
            <w:sz w:val="24"/>
            <w:szCs w:val="24"/>
            <w:lang w:eastAsia="zh-CN"/>
          </w:rPr>
          <w:tab/>
        </w:r>
        <w:r w:rsidRPr="00ED06AF">
          <w:rPr>
            <w:rStyle w:val="Hyperlink"/>
            <w:noProof/>
          </w:rPr>
          <w:t>Advantages of Decision Trees in Decision-Making</w:t>
        </w:r>
        <w:r>
          <w:rPr>
            <w:noProof/>
            <w:webHidden/>
          </w:rPr>
          <w:tab/>
        </w:r>
        <w:r>
          <w:rPr>
            <w:noProof/>
            <w:webHidden/>
          </w:rPr>
          <w:fldChar w:fldCharType="begin"/>
        </w:r>
        <w:r>
          <w:rPr>
            <w:noProof/>
            <w:webHidden/>
          </w:rPr>
          <w:instrText xml:space="preserve"> PAGEREF _Toc191026939 \h </w:instrText>
        </w:r>
        <w:r>
          <w:rPr>
            <w:noProof/>
            <w:webHidden/>
          </w:rPr>
        </w:r>
        <w:r>
          <w:rPr>
            <w:noProof/>
            <w:webHidden/>
          </w:rPr>
          <w:fldChar w:fldCharType="separate"/>
        </w:r>
        <w:r>
          <w:rPr>
            <w:noProof/>
            <w:webHidden/>
          </w:rPr>
          <w:t>85</w:t>
        </w:r>
        <w:r>
          <w:rPr>
            <w:noProof/>
            <w:webHidden/>
          </w:rPr>
          <w:fldChar w:fldCharType="end"/>
        </w:r>
      </w:hyperlink>
    </w:p>
    <w:p w14:paraId="645C8B56" w14:textId="1A4B2FD8" w:rsidR="00E23B5F" w:rsidRDefault="00E23B5F">
      <w:pPr>
        <w:pStyle w:val="TOC2"/>
        <w:tabs>
          <w:tab w:val="left" w:pos="960"/>
          <w:tab w:val="right" w:leader="dot" w:pos="9350"/>
        </w:tabs>
        <w:rPr>
          <w:rFonts w:eastAsiaTheme="minorEastAsia"/>
          <w:noProof/>
          <w:sz w:val="24"/>
          <w:szCs w:val="24"/>
          <w:lang w:eastAsia="zh-CN"/>
        </w:rPr>
      </w:pPr>
      <w:hyperlink w:anchor="_Toc191026940" w:history="1">
        <w:r w:rsidRPr="00ED06AF">
          <w:rPr>
            <w:rStyle w:val="Hyperlink"/>
            <w:noProof/>
          </w:rPr>
          <w:t>5.6</w:t>
        </w:r>
        <w:r>
          <w:rPr>
            <w:rFonts w:eastAsiaTheme="minorEastAsia"/>
            <w:noProof/>
            <w:sz w:val="24"/>
            <w:szCs w:val="24"/>
            <w:lang w:eastAsia="zh-CN"/>
          </w:rPr>
          <w:tab/>
        </w:r>
        <w:r w:rsidRPr="00ED06AF">
          <w:rPr>
            <w:rStyle w:val="Hyperlink"/>
            <w:noProof/>
          </w:rPr>
          <w:t>Incorporate Human Risk Tolerance Psychology into Decision Tree Analysis</w:t>
        </w:r>
        <w:r>
          <w:rPr>
            <w:noProof/>
            <w:webHidden/>
          </w:rPr>
          <w:tab/>
        </w:r>
        <w:r>
          <w:rPr>
            <w:noProof/>
            <w:webHidden/>
          </w:rPr>
          <w:fldChar w:fldCharType="begin"/>
        </w:r>
        <w:r>
          <w:rPr>
            <w:noProof/>
            <w:webHidden/>
          </w:rPr>
          <w:instrText xml:space="preserve"> PAGEREF _Toc191026940 \h </w:instrText>
        </w:r>
        <w:r>
          <w:rPr>
            <w:noProof/>
            <w:webHidden/>
          </w:rPr>
        </w:r>
        <w:r>
          <w:rPr>
            <w:noProof/>
            <w:webHidden/>
          </w:rPr>
          <w:fldChar w:fldCharType="separate"/>
        </w:r>
        <w:r>
          <w:rPr>
            <w:noProof/>
            <w:webHidden/>
          </w:rPr>
          <w:t>86</w:t>
        </w:r>
        <w:r>
          <w:rPr>
            <w:noProof/>
            <w:webHidden/>
          </w:rPr>
          <w:fldChar w:fldCharType="end"/>
        </w:r>
      </w:hyperlink>
    </w:p>
    <w:p w14:paraId="4D5A4D17" w14:textId="4A3BC5AE" w:rsidR="00E23B5F" w:rsidRDefault="00E23B5F">
      <w:pPr>
        <w:pStyle w:val="TOC2"/>
        <w:tabs>
          <w:tab w:val="left" w:pos="960"/>
          <w:tab w:val="right" w:leader="dot" w:pos="9350"/>
        </w:tabs>
        <w:rPr>
          <w:rFonts w:eastAsiaTheme="minorEastAsia"/>
          <w:noProof/>
          <w:sz w:val="24"/>
          <w:szCs w:val="24"/>
          <w:lang w:eastAsia="zh-CN"/>
        </w:rPr>
      </w:pPr>
      <w:hyperlink w:anchor="_Toc191026941" w:history="1">
        <w:r w:rsidRPr="00ED06AF">
          <w:rPr>
            <w:rStyle w:val="Hyperlink"/>
            <w:noProof/>
          </w:rPr>
          <w:t>5.7</w:t>
        </w:r>
        <w:r>
          <w:rPr>
            <w:rFonts w:eastAsiaTheme="minorEastAsia"/>
            <w:noProof/>
            <w:sz w:val="24"/>
            <w:szCs w:val="24"/>
            <w:lang w:eastAsia="zh-CN"/>
          </w:rPr>
          <w:tab/>
        </w:r>
        <w:r w:rsidRPr="00ED06AF">
          <w:rPr>
            <w:rStyle w:val="Hyperlink"/>
            <w:noProof/>
          </w:rPr>
          <w:t>Utility Functions in Decision-Making</w:t>
        </w:r>
        <w:r>
          <w:rPr>
            <w:noProof/>
            <w:webHidden/>
          </w:rPr>
          <w:tab/>
        </w:r>
        <w:r>
          <w:rPr>
            <w:noProof/>
            <w:webHidden/>
          </w:rPr>
          <w:fldChar w:fldCharType="begin"/>
        </w:r>
        <w:r>
          <w:rPr>
            <w:noProof/>
            <w:webHidden/>
          </w:rPr>
          <w:instrText xml:space="preserve"> PAGEREF _Toc191026941 \h </w:instrText>
        </w:r>
        <w:r>
          <w:rPr>
            <w:noProof/>
            <w:webHidden/>
          </w:rPr>
        </w:r>
        <w:r>
          <w:rPr>
            <w:noProof/>
            <w:webHidden/>
          </w:rPr>
          <w:fldChar w:fldCharType="separate"/>
        </w:r>
        <w:r>
          <w:rPr>
            <w:noProof/>
            <w:webHidden/>
          </w:rPr>
          <w:t>91</w:t>
        </w:r>
        <w:r>
          <w:rPr>
            <w:noProof/>
            <w:webHidden/>
          </w:rPr>
          <w:fldChar w:fldCharType="end"/>
        </w:r>
      </w:hyperlink>
    </w:p>
    <w:p w14:paraId="1C4C45F2" w14:textId="72ABC129" w:rsidR="00E23B5F" w:rsidRDefault="00E23B5F">
      <w:pPr>
        <w:pStyle w:val="TOC2"/>
        <w:tabs>
          <w:tab w:val="left" w:pos="960"/>
          <w:tab w:val="right" w:leader="dot" w:pos="9350"/>
        </w:tabs>
        <w:rPr>
          <w:rFonts w:eastAsiaTheme="minorEastAsia"/>
          <w:noProof/>
          <w:sz w:val="24"/>
          <w:szCs w:val="24"/>
          <w:lang w:eastAsia="zh-CN"/>
        </w:rPr>
      </w:pPr>
      <w:hyperlink w:anchor="_Toc191026942" w:history="1">
        <w:r w:rsidRPr="00ED06AF">
          <w:rPr>
            <w:rStyle w:val="Hyperlink"/>
            <w:noProof/>
          </w:rPr>
          <w:t>5.8</w:t>
        </w:r>
        <w:r>
          <w:rPr>
            <w:rFonts w:eastAsiaTheme="minorEastAsia"/>
            <w:noProof/>
            <w:sz w:val="24"/>
            <w:szCs w:val="24"/>
            <w:lang w:eastAsia="zh-CN"/>
          </w:rPr>
          <w:tab/>
        </w:r>
        <w:r w:rsidRPr="00ED06AF">
          <w:rPr>
            <w:rStyle w:val="Hyperlink"/>
            <w:noProof/>
          </w:rPr>
          <w:t>Integrate Risk Tolerance into Decision Trees</w:t>
        </w:r>
        <w:r>
          <w:rPr>
            <w:noProof/>
            <w:webHidden/>
          </w:rPr>
          <w:tab/>
        </w:r>
        <w:r>
          <w:rPr>
            <w:noProof/>
            <w:webHidden/>
          </w:rPr>
          <w:fldChar w:fldCharType="begin"/>
        </w:r>
        <w:r>
          <w:rPr>
            <w:noProof/>
            <w:webHidden/>
          </w:rPr>
          <w:instrText xml:space="preserve"> PAGEREF _Toc191026942 \h </w:instrText>
        </w:r>
        <w:r>
          <w:rPr>
            <w:noProof/>
            <w:webHidden/>
          </w:rPr>
        </w:r>
        <w:r>
          <w:rPr>
            <w:noProof/>
            <w:webHidden/>
          </w:rPr>
          <w:fldChar w:fldCharType="separate"/>
        </w:r>
        <w:r>
          <w:rPr>
            <w:noProof/>
            <w:webHidden/>
          </w:rPr>
          <w:t>95</w:t>
        </w:r>
        <w:r>
          <w:rPr>
            <w:noProof/>
            <w:webHidden/>
          </w:rPr>
          <w:fldChar w:fldCharType="end"/>
        </w:r>
      </w:hyperlink>
    </w:p>
    <w:p w14:paraId="35241F8B" w14:textId="69E3708A" w:rsidR="00E23B5F" w:rsidRDefault="00E23B5F">
      <w:pPr>
        <w:pStyle w:val="TOC2"/>
        <w:tabs>
          <w:tab w:val="left" w:pos="960"/>
          <w:tab w:val="right" w:leader="dot" w:pos="9350"/>
        </w:tabs>
        <w:rPr>
          <w:rFonts w:eastAsiaTheme="minorEastAsia"/>
          <w:noProof/>
          <w:sz w:val="24"/>
          <w:szCs w:val="24"/>
          <w:lang w:eastAsia="zh-CN"/>
        </w:rPr>
      </w:pPr>
      <w:hyperlink w:anchor="_Toc191026943" w:history="1">
        <w:r w:rsidRPr="00ED06AF">
          <w:rPr>
            <w:rStyle w:val="Hyperlink"/>
            <w:noProof/>
          </w:rPr>
          <w:t>5.9</w:t>
        </w:r>
        <w:r>
          <w:rPr>
            <w:rFonts w:eastAsiaTheme="minorEastAsia"/>
            <w:noProof/>
            <w:sz w:val="24"/>
            <w:szCs w:val="24"/>
            <w:lang w:eastAsia="zh-CN"/>
          </w:rPr>
          <w:tab/>
        </w:r>
        <w:r w:rsidRPr="00ED06AF">
          <w:rPr>
            <w:rStyle w:val="Hyperlink"/>
            <w:noProof/>
          </w:rPr>
          <w:t>Summary: The Power of Decision Trees for Uncertainty Analysis</w:t>
        </w:r>
        <w:r>
          <w:rPr>
            <w:noProof/>
            <w:webHidden/>
          </w:rPr>
          <w:tab/>
        </w:r>
        <w:r>
          <w:rPr>
            <w:noProof/>
            <w:webHidden/>
          </w:rPr>
          <w:fldChar w:fldCharType="begin"/>
        </w:r>
        <w:r>
          <w:rPr>
            <w:noProof/>
            <w:webHidden/>
          </w:rPr>
          <w:instrText xml:space="preserve"> PAGEREF _Toc191026943 \h </w:instrText>
        </w:r>
        <w:r>
          <w:rPr>
            <w:noProof/>
            <w:webHidden/>
          </w:rPr>
        </w:r>
        <w:r>
          <w:rPr>
            <w:noProof/>
            <w:webHidden/>
          </w:rPr>
          <w:fldChar w:fldCharType="separate"/>
        </w:r>
        <w:r>
          <w:rPr>
            <w:noProof/>
            <w:webHidden/>
          </w:rPr>
          <w:t>99</w:t>
        </w:r>
        <w:r>
          <w:rPr>
            <w:noProof/>
            <w:webHidden/>
          </w:rPr>
          <w:fldChar w:fldCharType="end"/>
        </w:r>
      </w:hyperlink>
    </w:p>
    <w:p w14:paraId="45DAEE0A" w14:textId="48566DDD" w:rsidR="00E23B5F" w:rsidRDefault="00E23B5F">
      <w:pPr>
        <w:pStyle w:val="TOC1"/>
        <w:tabs>
          <w:tab w:val="left" w:pos="480"/>
          <w:tab w:val="right" w:leader="dot" w:pos="9350"/>
        </w:tabs>
        <w:rPr>
          <w:rFonts w:eastAsiaTheme="minorEastAsia"/>
          <w:noProof/>
          <w:sz w:val="24"/>
          <w:szCs w:val="24"/>
          <w:lang w:eastAsia="zh-CN"/>
        </w:rPr>
      </w:pPr>
      <w:hyperlink w:anchor="_Toc191026944" w:history="1">
        <w:r w:rsidRPr="00ED06AF">
          <w:rPr>
            <w:rStyle w:val="Hyperlink"/>
            <w:noProof/>
          </w:rPr>
          <w:t>6</w:t>
        </w:r>
        <w:r>
          <w:rPr>
            <w:rFonts w:eastAsiaTheme="minorEastAsia"/>
            <w:noProof/>
            <w:sz w:val="24"/>
            <w:szCs w:val="24"/>
            <w:lang w:eastAsia="zh-CN"/>
          </w:rPr>
          <w:tab/>
        </w:r>
        <w:r w:rsidRPr="00ED06AF">
          <w:rPr>
            <w:rStyle w:val="Hyperlink"/>
            <w:noProof/>
          </w:rPr>
          <w:t>Simulation: Model Uncertainty For Decision-Making</w:t>
        </w:r>
        <w:r>
          <w:rPr>
            <w:noProof/>
            <w:webHidden/>
          </w:rPr>
          <w:tab/>
        </w:r>
        <w:r>
          <w:rPr>
            <w:noProof/>
            <w:webHidden/>
          </w:rPr>
          <w:fldChar w:fldCharType="begin"/>
        </w:r>
        <w:r>
          <w:rPr>
            <w:noProof/>
            <w:webHidden/>
          </w:rPr>
          <w:instrText xml:space="preserve"> PAGEREF _Toc191026944 \h </w:instrText>
        </w:r>
        <w:r>
          <w:rPr>
            <w:noProof/>
            <w:webHidden/>
          </w:rPr>
        </w:r>
        <w:r>
          <w:rPr>
            <w:noProof/>
            <w:webHidden/>
          </w:rPr>
          <w:fldChar w:fldCharType="separate"/>
        </w:r>
        <w:r>
          <w:rPr>
            <w:noProof/>
            <w:webHidden/>
          </w:rPr>
          <w:t>101</w:t>
        </w:r>
        <w:r>
          <w:rPr>
            <w:noProof/>
            <w:webHidden/>
          </w:rPr>
          <w:fldChar w:fldCharType="end"/>
        </w:r>
      </w:hyperlink>
    </w:p>
    <w:p w14:paraId="7AEAC79A" w14:textId="3A42614D" w:rsidR="00E23B5F" w:rsidRDefault="00E23B5F">
      <w:pPr>
        <w:pStyle w:val="TOC2"/>
        <w:tabs>
          <w:tab w:val="left" w:pos="960"/>
          <w:tab w:val="right" w:leader="dot" w:pos="9350"/>
        </w:tabs>
        <w:rPr>
          <w:rFonts w:eastAsiaTheme="minorEastAsia"/>
          <w:noProof/>
          <w:sz w:val="24"/>
          <w:szCs w:val="24"/>
          <w:lang w:eastAsia="zh-CN"/>
        </w:rPr>
      </w:pPr>
      <w:hyperlink w:anchor="_Toc191026945" w:history="1">
        <w:r w:rsidRPr="00ED06AF">
          <w:rPr>
            <w:rStyle w:val="Hyperlink"/>
            <w:noProof/>
          </w:rPr>
          <w:t>6.1</w:t>
        </w:r>
        <w:r>
          <w:rPr>
            <w:rFonts w:eastAsiaTheme="minorEastAsia"/>
            <w:noProof/>
            <w:sz w:val="24"/>
            <w:szCs w:val="24"/>
            <w:lang w:eastAsia="zh-CN"/>
          </w:rPr>
          <w:tab/>
        </w:r>
        <w:r w:rsidRPr="00ED06AF">
          <w:rPr>
            <w:rStyle w:val="Hyperlink"/>
            <w:noProof/>
          </w:rPr>
          <w:t>Scenario Analysis</w:t>
        </w:r>
        <w:r>
          <w:rPr>
            <w:noProof/>
            <w:webHidden/>
          </w:rPr>
          <w:tab/>
        </w:r>
        <w:r>
          <w:rPr>
            <w:noProof/>
            <w:webHidden/>
          </w:rPr>
          <w:fldChar w:fldCharType="begin"/>
        </w:r>
        <w:r>
          <w:rPr>
            <w:noProof/>
            <w:webHidden/>
          </w:rPr>
          <w:instrText xml:space="preserve"> PAGEREF _Toc191026945 \h </w:instrText>
        </w:r>
        <w:r>
          <w:rPr>
            <w:noProof/>
            <w:webHidden/>
          </w:rPr>
        </w:r>
        <w:r>
          <w:rPr>
            <w:noProof/>
            <w:webHidden/>
          </w:rPr>
          <w:fldChar w:fldCharType="separate"/>
        </w:r>
        <w:r>
          <w:rPr>
            <w:noProof/>
            <w:webHidden/>
          </w:rPr>
          <w:t>101</w:t>
        </w:r>
        <w:r>
          <w:rPr>
            <w:noProof/>
            <w:webHidden/>
          </w:rPr>
          <w:fldChar w:fldCharType="end"/>
        </w:r>
      </w:hyperlink>
    </w:p>
    <w:p w14:paraId="1BF85436" w14:textId="3BA0C69F" w:rsidR="00E23B5F" w:rsidRDefault="00E23B5F">
      <w:pPr>
        <w:pStyle w:val="TOC2"/>
        <w:tabs>
          <w:tab w:val="left" w:pos="960"/>
          <w:tab w:val="right" w:leader="dot" w:pos="9350"/>
        </w:tabs>
        <w:rPr>
          <w:rFonts w:eastAsiaTheme="minorEastAsia"/>
          <w:noProof/>
          <w:sz w:val="24"/>
          <w:szCs w:val="24"/>
          <w:lang w:eastAsia="zh-CN"/>
        </w:rPr>
      </w:pPr>
      <w:hyperlink w:anchor="_Toc191026946" w:history="1">
        <w:r w:rsidRPr="00ED06AF">
          <w:rPr>
            <w:rStyle w:val="Hyperlink"/>
            <w:noProof/>
          </w:rPr>
          <w:t>6.2</w:t>
        </w:r>
        <w:r>
          <w:rPr>
            <w:rFonts w:eastAsiaTheme="minorEastAsia"/>
            <w:noProof/>
            <w:sz w:val="24"/>
            <w:szCs w:val="24"/>
            <w:lang w:eastAsia="zh-CN"/>
          </w:rPr>
          <w:tab/>
        </w:r>
        <w:r w:rsidRPr="00ED06AF">
          <w:rPr>
            <w:rStyle w:val="Hyperlink"/>
            <w:noProof/>
          </w:rPr>
          <w:t>Monte Carlo Simulation</w:t>
        </w:r>
        <w:r>
          <w:rPr>
            <w:noProof/>
            <w:webHidden/>
          </w:rPr>
          <w:tab/>
        </w:r>
        <w:r>
          <w:rPr>
            <w:noProof/>
            <w:webHidden/>
          </w:rPr>
          <w:fldChar w:fldCharType="begin"/>
        </w:r>
        <w:r>
          <w:rPr>
            <w:noProof/>
            <w:webHidden/>
          </w:rPr>
          <w:instrText xml:space="preserve"> PAGEREF _Toc191026946 \h </w:instrText>
        </w:r>
        <w:r>
          <w:rPr>
            <w:noProof/>
            <w:webHidden/>
          </w:rPr>
        </w:r>
        <w:r>
          <w:rPr>
            <w:noProof/>
            <w:webHidden/>
          </w:rPr>
          <w:fldChar w:fldCharType="separate"/>
        </w:r>
        <w:r>
          <w:rPr>
            <w:noProof/>
            <w:webHidden/>
          </w:rPr>
          <w:t>108</w:t>
        </w:r>
        <w:r>
          <w:rPr>
            <w:noProof/>
            <w:webHidden/>
          </w:rPr>
          <w:fldChar w:fldCharType="end"/>
        </w:r>
      </w:hyperlink>
    </w:p>
    <w:p w14:paraId="20C3596F" w14:textId="332E15EB" w:rsidR="00E23B5F" w:rsidRDefault="00E23B5F">
      <w:pPr>
        <w:pStyle w:val="TOC2"/>
        <w:tabs>
          <w:tab w:val="left" w:pos="960"/>
          <w:tab w:val="right" w:leader="dot" w:pos="9350"/>
        </w:tabs>
        <w:rPr>
          <w:rFonts w:eastAsiaTheme="minorEastAsia"/>
          <w:noProof/>
          <w:sz w:val="24"/>
          <w:szCs w:val="24"/>
          <w:lang w:eastAsia="zh-CN"/>
        </w:rPr>
      </w:pPr>
      <w:hyperlink w:anchor="_Toc191026947" w:history="1">
        <w:r w:rsidRPr="00ED06AF">
          <w:rPr>
            <w:rStyle w:val="Hyperlink"/>
            <w:noProof/>
          </w:rPr>
          <w:t>6.3</w:t>
        </w:r>
        <w:r>
          <w:rPr>
            <w:rFonts w:eastAsiaTheme="minorEastAsia"/>
            <w:noProof/>
            <w:sz w:val="24"/>
            <w:szCs w:val="24"/>
            <w:lang w:eastAsia="zh-CN"/>
          </w:rPr>
          <w:tab/>
        </w:r>
        <w:r w:rsidRPr="00ED06AF">
          <w:rPr>
            <w:rStyle w:val="Hyperlink"/>
            <w:noProof/>
          </w:rPr>
          <w:t>Leverage Simulation for Enhanced Decision-Making</w:t>
        </w:r>
        <w:r>
          <w:rPr>
            <w:noProof/>
            <w:webHidden/>
          </w:rPr>
          <w:tab/>
        </w:r>
        <w:r>
          <w:rPr>
            <w:noProof/>
            <w:webHidden/>
          </w:rPr>
          <w:fldChar w:fldCharType="begin"/>
        </w:r>
        <w:r>
          <w:rPr>
            <w:noProof/>
            <w:webHidden/>
          </w:rPr>
          <w:instrText xml:space="preserve"> PAGEREF _Toc191026947 \h </w:instrText>
        </w:r>
        <w:r>
          <w:rPr>
            <w:noProof/>
            <w:webHidden/>
          </w:rPr>
        </w:r>
        <w:r>
          <w:rPr>
            <w:noProof/>
            <w:webHidden/>
          </w:rPr>
          <w:fldChar w:fldCharType="separate"/>
        </w:r>
        <w:r>
          <w:rPr>
            <w:noProof/>
            <w:webHidden/>
          </w:rPr>
          <w:t>115</w:t>
        </w:r>
        <w:r>
          <w:rPr>
            <w:noProof/>
            <w:webHidden/>
          </w:rPr>
          <w:fldChar w:fldCharType="end"/>
        </w:r>
      </w:hyperlink>
    </w:p>
    <w:p w14:paraId="014ACB8C" w14:textId="2703E9ED" w:rsidR="00E23B5F" w:rsidRDefault="00E23B5F">
      <w:pPr>
        <w:pStyle w:val="TOC2"/>
        <w:tabs>
          <w:tab w:val="left" w:pos="960"/>
          <w:tab w:val="right" w:leader="dot" w:pos="9350"/>
        </w:tabs>
        <w:rPr>
          <w:rFonts w:eastAsiaTheme="minorEastAsia"/>
          <w:noProof/>
          <w:sz w:val="24"/>
          <w:szCs w:val="24"/>
          <w:lang w:eastAsia="zh-CN"/>
        </w:rPr>
      </w:pPr>
      <w:hyperlink w:anchor="_Toc191026948" w:history="1">
        <w:r w:rsidRPr="00ED06AF">
          <w:rPr>
            <w:rStyle w:val="Hyperlink"/>
            <w:noProof/>
          </w:rPr>
          <w:t>6.4</w:t>
        </w:r>
        <w:r>
          <w:rPr>
            <w:rFonts w:eastAsiaTheme="minorEastAsia"/>
            <w:noProof/>
            <w:sz w:val="24"/>
            <w:szCs w:val="24"/>
            <w:lang w:eastAsia="zh-CN"/>
          </w:rPr>
          <w:tab/>
        </w:r>
        <w:r w:rsidRPr="00ED06AF">
          <w:rPr>
            <w:rStyle w:val="Hyperlink"/>
            <w:noProof/>
          </w:rPr>
          <w:t>Summary: Leverage Simulation to Enhance Decision-Making</w:t>
        </w:r>
        <w:r>
          <w:rPr>
            <w:noProof/>
            <w:webHidden/>
          </w:rPr>
          <w:tab/>
        </w:r>
        <w:r>
          <w:rPr>
            <w:noProof/>
            <w:webHidden/>
          </w:rPr>
          <w:fldChar w:fldCharType="begin"/>
        </w:r>
        <w:r>
          <w:rPr>
            <w:noProof/>
            <w:webHidden/>
          </w:rPr>
          <w:instrText xml:space="preserve"> PAGEREF _Toc191026948 \h </w:instrText>
        </w:r>
        <w:r>
          <w:rPr>
            <w:noProof/>
            <w:webHidden/>
          </w:rPr>
        </w:r>
        <w:r>
          <w:rPr>
            <w:noProof/>
            <w:webHidden/>
          </w:rPr>
          <w:fldChar w:fldCharType="separate"/>
        </w:r>
        <w:r>
          <w:rPr>
            <w:noProof/>
            <w:webHidden/>
          </w:rPr>
          <w:t>126</w:t>
        </w:r>
        <w:r>
          <w:rPr>
            <w:noProof/>
            <w:webHidden/>
          </w:rPr>
          <w:fldChar w:fldCharType="end"/>
        </w:r>
      </w:hyperlink>
    </w:p>
    <w:p w14:paraId="2D6F73A1" w14:textId="2082FD6D" w:rsidR="00E23B5F" w:rsidRDefault="00E23B5F">
      <w:pPr>
        <w:pStyle w:val="TOC1"/>
        <w:tabs>
          <w:tab w:val="left" w:pos="480"/>
          <w:tab w:val="right" w:leader="dot" w:pos="9350"/>
        </w:tabs>
        <w:rPr>
          <w:rFonts w:eastAsiaTheme="minorEastAsia"/>
          <w:noProof/>
          <w:sz w:val="24"/>
          <w:szCs w:val="24"/>
          <w:lang w:eastAsia="zh-CN"/>
        </w:rPr>
      </w:pPr>
      <w:hyperlink w:anchor="_Toc191026949" w:history="1">
        <w:r w:rsidRPr="00ED06AF">
          <w:rPr>
            <w:rStyle w:val="Hyperlink"/>
            <w:noProof/>
          </w:rPr>
          <w:t>7</w:t>
        </w:r>
        <w:r>
          <w:rPr>
            <w:rFonts w:eastAsiaTheme="minorEastAsia"/>
            <w:noProof/>
            <w:sz w:val="24"/>
            <w:szCs w:val="24"/>
            <w:lang w:eastAsia="zh-CN"/>
          </w:rPr>
          <w:tab/>
        </w:r>
        <w:r w:rsidRPr="00ED06AF">
          <w:rPr>
            <w:rStyle w:val="Hyperlink"/>
            <w:noProof/>
          </w:rPr>
          <w:t>Integrate Data Analytics with Human Judgement for Enhanced Decision-Making</w:t>
        </w:r>
        <w:r>
          <w:rPr>
            <w:noProof/>
            <w:webHidden/>
          </w:rPr>
          <w:tab/>
        </w:r>
        <w:r>
          <w:rPr>
            <w:noProof/>
            <w:webHidden/>
          </w:rPr>
          <w:fldChar w:fldCharType="begin"/>
        </w:r>
        <w:r>
          <w:rPr>
            <w:noProof/>
            <w:webHidden/>
          </w:rPr>
          <w:instrText xml:space="preserve"> PAGEREF _Toc191026949 \h </w:instrText>
        </w:r>
        <w:r>
          <w:rPr>
            <w:noProof/>
            <w:webHidden/>
          </w:rPr>
        </w:r>
        <w:r>
          <w:rPr>
            <w:noProof/>
            <w:webHidden/>
          </w:rPr>
          <w:fldChar w:fldCharType="separate"/>
        </w:r>
        <w:r>
          <w:rPr>
            <w:noProof/>
            <w:webHidden/>
          </w:rPr>
          <w:t>128</w:t>
        </w:r>
        <w:r>
          <w:rPr>
            <w:noProof/>
            <w:webHidden/>
          </w:rPr>
          <w:fldChar w:fldCharType="end"/>
        </w:r>
      </w:hyperlink>
    </w:p>
    <w:p w14:paraId="27B3C30E" w14:textId="27C1DAAE" w:rsidR="00E23B5F" w:rsidRDefault="00E23B5F">
      <w:pPr>
        <w:pStyle w:val="TOC2"/>
        <w:tabs>
          <w:tab w:val="left" w:pos="960"/>
          <w:tab w:val="right" w:leader="dot" w:pos="9350"/>
        </w:tabs>
        <w:rPr>
          <w:rFonts w:eastAsiaTheme="minorEastAsia"/>
          <w:noProof/>
          <w:sz w:val="24"/>
          <w:szCs w:val="24"/>
          <w:lang w:eastAsia="zh-CN"/>
        </w:rPr>
      </w:pPr>
      <w:hyperlink w:anchor="_Toc191026950" w:history="1">
        <w:r w:rsidRPr="00ED06AF">
          <w:rPr>
            <w:rStyle w:val="Hyperlink"/>
            <w:noProof/>
          </w:rPr>
          <w:t>7.2</w:t>
        </w:r>
        <w:r>
          <w:rPr>
            <w:rFonts w:eastAsiaTheme="minorEastAsia"/>
            <w:noProof/>
            <w:sz w:val="24"/>
            <w:szCs w:val="24"/>
            <w:lang w:eastAsia="zh-CN"/>
          </w:rPr>
          <w:tab/>
        </w:r>
        <w:r w:rsidRPr="00ED06AF">
          <w:rPr>
            <w:rStyle w:val="Hyperlink"/>
            <w:noProof/>
          </w:rPr>
          <w:t>Best Practices for Integrating Data Analytics into a Business</w:t>
        </w:r>
        <w:r>
          <w:rPr>
            <w:noProof/>
            <w:webHidden/>
          </w:rPr>
          <w:tab/>
        </w:r>
        <w:r>
          <w:rPr>
            <w:noProof/>
            <w:webHidden/>
          </w:rPr>
          <w:fldChar w:fldCharType="begin"/>
        </w:r>
        <w:r>
          <w:rPr>
            <w:noProof/>
            <w:webHidden/>
          </w:rPr>
          <w:instrText xml:space="preserve"> PAGEREF _Toc191026950 \h </w:instrText>
        </w:r>
        <w:r>
          <w:rPr>
            <w:noProof/>
            <w:webHidden/>
          </w:rPr>
        </w:r>
        <w:r>
          <w:rPr>
            <w:noProof/>
            <w:webHidden/>
          </w:rPr>
          <w:fldChar w:fldCharType="separate"/>
        </w:r>
        <w:r>
          <w:rPr>
            <w:noProof/>
            <w:webHidden/>
          </w:rPr>
          <w:t>134</w:t>
        </w:r>
        <w:r>
          <w:rPr>
            <w:noProof/>
            <w:webHidden/>
          </w:rPr>
          <w:fldChar w:fldCharType="end"/>
        </w:r>
      </w:hyperlink>
    </w:p>
    <w:p w14:paraId="364EADB7" w14:textId="731352B8" w:rsidR="00E23B5F" w:rsidRDefault="00E23B5F">
      <w:pPr>
        <w:pStyle w:val="TOC2"/>
        <w:tabs>
          <w:tab w:val="left" w:pos="960"/>
          <w:tab w:val="right" w:leader="dot" w:pos="9350"/>
        </w:tabs>
        <w:rPr>
          <w:rFonts w:eastAsiaTheme="minorEastAsia"/>
          <w:noProof/>
          <w:sz w:val="24"/>
          <w:szCs w:val="24"/>
          <w:lang w:eastAsia="zh-CN"/>
        </w:rPr>
      </w:pPr>
      <w:hyperlink w:anchor="_Toc191026951" w:history="1">
        <w:r w:rsidRPr="00ED06AF">
          <w:rPr>
            <w:rStyle w:val="Hyperlink"/>
            <w:noProof/>
          </w:rPr>
          <w:t>7.3</w:t>
        </w:r>
        <w:r>
          <w:rPr>
            <w:rFonts w:eastAsiaTheme="minorEastAsia"/>
            <w:noProof/>
            <w:sz w:val="24"/>
            <w:szCs w:val="24"/>
            <w:lang w:eastAsia="zh-CN"/>
          </w:rPr>
          <w:tab/>
        </w:r>
        <w:r w:rsidRPr="00ED06AF">
          <w:rPr>
            <w:rStyle w:val="Hyperlink"/>
            <w:noProof/>
          </w:rPr>
          <w:t>Business Strategy</w:t>
        </w:r>
        <w:r>
          <w:rPr>
            <w:noProof/>
            <w:webHidden/>
          </w:rPr>
          <w:tab/>
        </w:r>
        <w:r>
          <w:rPr>
            <w:noProof/>
            <w:webHidden/>
          </w:rPr>
          <w:fldChar w:fldCharType="begin"/>
        </w:r>
        <w:r>
          <w:rPr>
            <w:noProof/>
            <w:webHidden/>
          </w:rPr>
          <w:instrText xml:space="preserve"> PAGEREF _Toc191026951 \h </w:instrText>
        </w:r>
        <w:r>
          <w:rPr>
            <w:noProof/>
            <w:webHidden/>
          </w:rPr>
        </w:r>
        <w:r>
          <w:rPr>
            <w:noProof/>
            <w:webHidden/>
          </w:rPr>
          <w:fldChar w:fldCharType="separate"/>
        </w:r>
        <w:r>
          <w:rPr>
            <w:noProof/>
            <w:webHidden/>
          </w:rPr>
          <w:t>136</w:t>
        </w:r>
        <w:r>
          <w:rPr>
            <w:noProof/>
            <w:webHidden/>
          </w:rPr>
          <w:fldChar w:fldCharType="end"/>
        </w:r>
      </w:hyperlink>
    </w:p>
    <w:p w14:paraId="036B1B77" w14:textId="69643450" w:rsidR="00E23B5F" w:rsidRDefault="00E23B5F">
      <w:pPr>
        <w:pStyle w:val="TOC2"/>
        <w:tabs>
          <w:tab w:val="left" w:pos="960"/>
          <w:tab w:val="right" w:leader="dot" w:pos="9350"/>
        </w:tabs>
        <w:rPr>
          <w:rFonts w:eastAsiaTheme="minorEastAsia"/>
          <w:noProof/>
          <w:sz w:val="24"/>
          <w:szCs w:val="24"/>
          <w:lang w:eastAsia="zh-CN"/>
        </w:rPr>
      </w:pPr>
      <w:hyperlink w:anchor="_Toc191026952" w:history="1">
        <w:r w:rsidRPr="00ED06AF">
          <w:rPr>
            <w:rStyle w:val="Hyperlink"/>
            <w:noProof/>
          </w:rPr>
          <w:t>7.4</w:t>
        </w:r>
        <w:r>
          <w:rPr>
            <w:rFonts w:eastAsiaTheme="minorEastAsia"/>
            <w:noProof/>
            <w:sz w:val="24"/>
            <w:szCs w:val="24"/>
            <w:lang w:eastAsia="zh-CN"/>
          </w:rPr>
          <w:tab/>
        </w:r>
        <w:r w:rsidRPr="00ED06AF">
          <w:rPr>
            <w:rStyle w:val="Hyperlink"/>
            <w:noProof/>
            <w:shd w:val="clear" w:color="auto" w:fill="FFFFFF"/>
          </w:rPr>
          <w:t>Human-Machine Collaboration</w:t>
        </w:r>
        <w:r>
          <w:rPr>
            <w:noProof/>
            <w:webHidden/>
          </w:rPr>
          <w:tab/>
        </w:r>
        <w:r>
          <w:rPr>
            <w:noProof/>
            <w:webHidden/>
          </w:rPr>
          <w:fldChar w:fldCharType="begin"/>
        </w:r>
        <w:r>
          <w:rPr>
            <w:noProof/>
            <w:webHidden/>
          </w:rPr>
          <w:instrText xml:space="preserve"> PAGEREF _Toc191026952 \h </w:instrText>
        </w:r>
        <w:r>
          <w:rPr>
            <w:noProof/>
            <w:webHidden/>
          </w:rPr>
        </w:r>
        <w:r>
          <w:rPr>
            <w:noProof/>
            <w:webHidden/>
          </w:rPr>
          <w:fldChar w:fldCharType="separate"/>
        </w:r>
        <w:r>
          <w:rPr>
            <w:noProof/>
            <w:webHidden/>
          </w:rPr>
          <w:t>142</w:t>
        </w:r>
        <w:r>
          <w:rPr>
            <w:noProof/>
            <w:webHidden/>
          </w:rPr>
          <w:fldChar w:fldCharType="end"/>
        </w:r>
      </w:hyperlink>
    </w:p>
    <w:p w14:paraId="3F095516" w14:textId="5054A400" w:rsidR="00E23B5F" w:rsidRDefault="00E23B5F">
      <w:pPr>
        <w:pStyle w:val="TOC2"/>
        <w:tabs>
          <w:tab w:val="left" w:pos="960"/>
          <w:tab w:val="right" w:leader="dot" w:pos="9350"/>
        </w:tabs>
        <w:rPr>
          <w:rFonts w:eastAsiaTheme="minorEastAsia"/>
          <w:noProof/>
          <w:sz w:val="24"/>
          <w:szCs w:val="24"/>
          <w:lang w:eastAsia="zh-CN"/>
        </w:rPr>
      </w:pPr>
      <w:hyperlink w:anchor="_Toc191026953" w:history="1">
        <w:r w:rsidRPr="00ED06AF">
          <w:rPr>
            <w:rStyle w:val="Hyperlink"/>
            <w:noProof/>
          </w:rPr>
          <w:t>7.5</w:t>
        </w:r>
        <w:r>
          <w:rPr>
            <w:rFonts w:eastAsiaTheme="minorEastAsia"/>
            <w:noProof/>
            <w:sz w:val="24"/>
            <w:szCs w:val="24"/>
            <w:lang w:eastAsia="zh-CN"/>
          </w:rPr>
          <w:tab/>
        </w:r>
        <w:r w:rsidRPr="00ED06AF">
          <w:rPr>
            <w:rStyle w:val="Hyperlink"/>
            <w:noProof/>
          </w:rPr>
          <w:t>Summary: Enhance Decision-Making with Human Insight and Data Analytics</w:t>
        </w:r>
        <w:r>
          <w:rPr>
            <w:noProof/>
            <w:webHidden/>
          </w:rPr>
          <w:tab/>
        </w:r>
        <w:r>
          <w:rPr>
            <w:noProof/>
            <w:webHidden/>
          </w:rPr>
          <w:fldChar w:fldCharType="begin"/>
        </w:r>
        <w:r>
          <w:rPr>
            <w:noProof/>
            <w:webHidden/>
          </w:rPr>
          <w:instrText xml:space="preserve"> PAGEREF _Toc191026953 \h </w:instrText>
        </w:r>
        <w:r>
          <w:rPr>
            <w:noProof/>
            <w:webHidden/>
          </w:rPr>
        </w:r>
        <w:r>
          <w:rPr>
            <w:noProof/>
            <w:webHidden/>
          </w:rPr>
          <w:fldChar w:fldCharType="separate"/>
        </w:r>
        <w:r>
          <w:rPr>
            <w:noProof/>
            <w:webHidden/>
          </w:rPr>
          <w:t>143</w:t>
        </w:r>
        <w:r>
          <w:rPr>
            <w:noProof/>
            <w:webHidden/>
          </w:rPr>
          <w:fldChar w:fldCharType="end"/>
        </w:r>
      </w:hyperlink>
    </w:p>
    <w:p w14:paraId="145C451C" w14:textId="6411F0F3" w:rsidR="001C23F4" w:rsidRPr="001C23F4" w:rsidRDefault="00027F2E" w:rsidP="00027F2E">
      <w:r>
        <w:fldChar w:fldCharType="end"/>
      </w:r>
    </w:p>
    <w:p w14:paraId="2DCFEFA6" w14:textId="77777777" w:rsidR="001833A6" w:rsidRDefault="001833A6">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2BC928F2" w14:textId="77777777" w:rsidR="00496BFE" w:rsidRDefault="00496BFE" w:rsidP="00496BFE">
      <w:pPr>
        <w:pStyle w:val="Title"/>
      </w:pPr>
      <w:bookmarkStart w:id="7" w:name="_Hlk166847954"/>
    </w:p>
    <w:p w14:paraId="010FB711" w14:textId="77777777" w:rsidR="00496BFE" w:rsidRDefault="00496BFE" w:rsidP="00496BFE">
      <w:pPr>
        <w:pStyle w:val="Title"/>
      </w:pPr>
    </w:p>
    <w:p w14:paraId="2AB23365" w14:textId="77777777" w:rsidR="00496BFE" w:rsidRDefault="00496BFE" w:rsidP="00496BFE">
      <w:pPr>
        <w:pStyle w:val="Title"/>
      </w:pPr>
    </w:p>
    <w:p w14:paraId="3D2836E2" w14:textId="77777777" w:rsidR="00496BFE" w:rsidRDefault="00496BFE" w:rsidP="00496BFE">
      <w:pPr>
        <w:pStyle w:val="Title"/>
      </w:pPr>
    </w:p>
    <w:p w14:paraId="06BA113D" w14:textId="77777777" w:rsidR="00496BFE" w:rsidRDefault="00496BFE" w:rsidP="00496BFE">
      <w:pPr>
        <w:pStyle w:val="Title"/>
      </w:pPr>
    </w:p>
    <w:p w14:paraId="075D5EF9" w14:textId="77777777" w:rsidR="00496BFE" w:rsidRDefault="00496BFE" w:rsidP="00496BFE">
      <w:pPr>
        <w:pStyle w:val="Title"/>
      </w:pPr>
    </w:p>
    <w:p w14:paraId="6699092E" w14:textId="751559D2" w:rsidR="00496BFE" w:rsidRDefault="00E23B5F" w:rsidP="00496BFE">
      <w:pPr>
        <w:pStyle w:val="Title"/>
        <w:jc w:val="center"/>
      </w:pPr>
      <w:r>
        <w:t>Introduction</w:t>
      </w:r>
    </w:p>
    <w:p w14:paraId="71C84998" w14:textId="2CBFDED0" w:rsidR="00496BFE" w:rsidRPr="00323869" w:rsidRDefault="00496BFE" w:rsidP="00323869">
      <w:pPr>
        <w:pStyle w:val="Title"/>
      </w:pPr>
      <w:bookmarkStart w:id="8" w:name="_Toc191026905"/>
      <w:r>
        <w:t>Data Analytics and Human Judgement for Decision-Making</w:t>
      </w:r>
      <w:bookmarkEnd w:id="8"/>
      <w:r>
        <w:t xml:space="preserve"> </w:t>
      </w:r>
      <w:r>
        <w:br w:type="page"/>
      </w:r>
    </w:p>
    <w:p w14:paraId="0DF08C42" w14:textId="3C4A146B" w:rsidR="00766C45" w:rsidRDefault="00766C45" w:rsidP="00163005">
      <w:pPr>
        <w:pStyle w:val="Heading1"/>
        <w:numPr>
          <w:ilvl w:val="0"/>
          <w:numId w:val="4"/>
        </w:numPr>
      </w:pPr>
      <w:bookmarkStart w:id="9" w:name="_Toc191026906"/>
      <w:r>
        <w:lastRenderedPageBreak/>
        <w:t xml:space="preserve">Roles of Human and </w:t>
      </w:r>
      <w:r w:rsidR="00DA0251">
        <w:t xml:space="preserve">Technology </w:t>
      </w:r>
      <w:r>
        <w:t>in Decision-Making</w:t>
      </w:r>
      <w:bookmarkEnd w:id="9"/>
    </w:p>
    <w:p w14:paraId="2F49A560" w14:textId="02E9D312" w:rsidR="009062AD" w:rsidRDefault="00F45379" w:rsidP="009062AD">
      <w:pPr>
        <w:pStyle w:val="Heading2"/>
      </w:pPr>
      <w:bookmarkStart w:id="10" w:name="_Toc191026907"/>
      <w:r w:rsidRPr="00AD02DF">
        <w:t>Decision-</w:t>
      </w:r>
      <w:r w:rsidR="003B59D8">
        <w:t>M</w:t>
      </w:r>
      <w:r w:rsidRPr="00AD02DF">
        <w:t>aking</w:t>
      </w:r>
      <w:bookmarkStart w:id="11" w:name="_Hlk169268646"/>
      <w:bookmarkEnd w:id="1"/>
      <w:r w:rsidR="004702F6">
        <w:t xml:space="preserve">:  </w:t>
      </w:r>
      <w:r w:rsidR="000448D0">
        <w:t>A</w:t>
      </w:r>
      <w:r w:rsidR="004702F6">
        <w:t xml:space="preserve"> Dynamic Process</w:t>
      </w:r>
      <w:bookmarkEnd w:id="10"/>
    </w:p>
    <w:bookmarkEnd w:id="11"/>
    <w:p w14:paraId="5C41B9A9" w14:textId="51DCCE7D" w:rsidR="00EB0528" w:rsidRDefault="004C6A65" w:rsidP="002B2D8A">
      <w:pPr>
        <w:tabs>
          <w:tab w:val="center" w:pos="4680"/>
        </w:tabs>
      </w:pPr>
      <w:r w:rsidRPr="004C6A65">
        <w:t>To better understand the real-world complexities decision-makers face, we gathered insights from working professionals across industries, the military, and nonprofits. The challenges they encounter in their day-to-day work—typically involving balancing innovation and risk, responding quickly to high-stakes situations, and managing limited resources—</w:t>
      </w:r>
      <w:r>
        <w:t xml:space="preserve">represent </w:t>
      </w:r>
      <w:r w:rsidRPr="004C6A65">
        <w:t>common obstacles faced by decision-makers across various fields</w:t>
      </w:r>
      <w:r w:rsidR="0064742A" w:rsidRPr="0064742A">
        <w:t xml:space="preserve">. </w:t>
      </w:r>
      <w:r w:rsidRPr="004C6A65">
        <w:t>These challenges can be categorized into several key areas:</w:t>
      </w:r>
    </w:p>
    <w:p w14:paraId="607C5F16" w14:textId="1BE1A7F6" w:rsidR="00EB0528" w:rsidRDefault="00EB0528" w:rsidP="00D81274">
      <w:pPr>
        <w:pStyle w:val="ListParagraph"/>
        <w:numPr>
          <w:ilvl w:val="0"/>
          <w:numId w:val="11"/>
        </w:numPr>
      </w:pPr>
      <w:r>
        <w:t xml:space="preserve">Team Dynamics: </w:t>
      </w:r>
      <w:r w:rsidR="00B574AE" w:rsidRPr="00B574AE">
        <w:t>When teams lack autonomy, decisions stall. A tech company, for example, faced delays in product development because employees had limited decision-making power. Frequent disagreements on direction slowed progress</w:t>
      </w:r>
      <w:r w:rsidR="00B574AE">
        <w:t xml:space="preserve"> </w:t>
      </w:r>
      <w:r w:rsidR="00B574AE" w:rsidRPr="00B574AE">
        <w:t xml:space="preserve">and </w:t>
      </w:r>
      <w:r w:rsidR="0064742A">
        <w:t>eroded</w:t>
      </w:r>
      <w:r w:rsidR="00B574AE">
        <w:t xml:space="preserve"> </w:t>
      </w:r>
      <w:r w:rsidR="0064742A">
        <w:t xml:space="preserve">its </w:t>
      </w:r>
      <w:r w:rsidR="00B574AE">
        <w:t>collaborative culture</w:t>
      </w:r>
      <w:r>
        <w:t>.</w:t>
      </w:r>
    </w:p>
    <w:p w14:paraId="1E58AEE7" w14:textId="1920CD51" w:rsidR="00EB0528" w:rsidRDefault="00EB0528" w:rsidP="00D81274">
      <w:pPr>
        <w:pStyle w:val="ListParagraph"/>
        <w:numPr>
          <w:ilvl w:val="0"/>
          <w:numId w:val="11"/>
        </w:numPr>
      </w:pPr>
      <w:r>
        <w:t xml:space="preserve">Unclear Guidance: </w:t>
      </w:r>
      <w:r w:rsidR="00B574AE" w:rsidRPr="00B574AE">
        <w:t xml:space="preserve">Vague guidance creates confusion and wastes resources. A nonprofit struggled to launch an outreach program due to unclear goals and undefined staff roles. The result? </w:t>
      </w:r>
      <w:r w:rsidR="00B574AE">
        <w:t xml:space="preserve">Delayed </w:t>
      </w:r>
      <w:r w:rsidR="00B574AE" w:rsidRPr="00B574AE">
        <w:t xml:space="preserve">operational </w:t>
      </w:r>
      <w:r w:rsidR="00B574AE">
        <w:t>decisions</w:t>
      </w:r>
      <w:r w:rsidR="00B574AE" w:rsidRPr="00B574AE">
        <w:t xml:space="preserve">, </w:t>
      </w:r>
      <w:r w:rsidR="00B574AE">
        <w:t>o</w:t>
      </w:r>
      <w:r w:rsidR="00B574AE" w:rsidRPr="00B574AE">
        <w:t>verlapping efforts, and diminished impact</w:t>
      </w:r>
      <w:r w:rsidR="000448D0">
        <w:t>.</w:t>
      </w:r>
    </w:p>
    <w:p w14:paraId="4B3A9A93" w14:textId="12D8658C" w:rsidR="00EB0528" w:rsidRDefault="00EB0528" w:rsidP="00D81274">
      <w:pPr>
        <w:pStyle w:val="ListParagraph"/>
        <w:numPr>
          <w:ilvl w:val="0"/>
          <w:numId w:val="11"/>
        </w:numPr>
      </w:pPr>
      <w:r>
        <w:t xml:space="preserve">Data Overload: </w:t>
      </w:r>
      <w:r w:rsidR="00B574AE" w:rsidRPr="00B574AE">
        <w:t xml:space="preserve">More data doesn’t always </w:t>
      </w:r>
      <w:r w:rsidR="00B574AE">
        <w:t xml:space="preserve">lead to </w:t>
      </w:r>
      <w:r w:rsidR="00B574AE" w:rsidRPr="00B574AE">
        <w:t>better decisions. During a product recall, a company received overwhelming amounts of customer feedback, test results, and supply chain reports</w:t>
      </w:r>
      <w:r w:rsidR="000448D0">
        <w:t>.</w:t>
      </w:r>
      <w:r w:rsidR="00462625">
        <w:t xml:space="preserve"> </w:t>
      </w:r>
      <w:r w:rsidR="00462625" w:rsidRPr="00462625">
        <w:t xml:space="preserve">Without a clear strategy to interpret and act on the information, leadership struggled to </w:t>
      </w:r>
      <w:r w:rsidR="0064742A">
        <w:t>make</w:t>
      </w:r>
      <w:r w:rsidR="00462625" w:rsidRPr="00462625">
        <w:t xml:space="preserve"> a timely resolution</w:t>
      </w:r>
      <w:r w:rsidR="00462625">
        <w:t>.</w:t>
      </w:r>
    </w:p>
    <w:p w14:paraId="2248DE42" w14:textId="47722FF9" w:rsidR="00EB0528" w:rsidRDefault="00B574AE" w:rsidP="00D81274">
      <w:pPr>
        <w:pStyle w:val="ListParagraph"/>
        <w:numPr>
          <w:ilvl w:val="0"/>
          <w:numId w:val="11"/>
        </w:numPr>
      </w:pPr>
      <w:r>
        <w:t>Resistance to Change</w:t>
      </w:r>
      <w:r w:rsidR="00EB0528">
        <w:t xml:space="preserve">: </w:t>
      </w:r>
      <w:r w:rsidRPr="00B574AE">
        <w:t xml:space="preserve">Sticking to outdated methods can hold organizations back. </w:t>
      </w:r>
      <w:r w:rsidR="00462625">
        <w:t>One</w:t>
      </w:r>
      <w:r w:rsidR="00462625" w:rsidRPr="00462625">
        <w:t xml:space="preserve"> company, reliant on legacy software, failed to integrate modern cloud-based solutions. As competitors moved ahead with more agile systems, its inefficiencies became </w:t>
      </w:r>
      <w:r w:rsidR="0064742A">
        <w:t>increasingly</w:t>
      </w:r>
      <w:r w:rsidR="00462625" w:rsidRPr="00462625">
        <w:t xml:space="preserve"> apparent</w:t>
      </w:r>
      <w:r w:rsidR="00EB0528">
        <w:t>.</w:t>
      </w:r>
    </w:p>
    <w:p w14:paraId="6083502F" w14:textId="7092D6D6" w:rsidR="00EB0528" w:rsidRDefault="00EB0528" w:rsidP="00D81274">
      <w:pPr>
        <w:pStyle w:val="ListParagraph"/>
        <w:numPr>
          <w:ilvl w:val="0"/>
          <w:numId w:val="11"/>
        </w:numPr>
      </w:pPr>
      <w:r>
        <w:t xml:space="preserve">Over-reliance on Experience: </w:t>
      </w:r>
      <w:r w:rsidR="00B574AE" w:rsidRPr="00B574AE">
        <w:t xml:space="preserve">Experience is valuable, but relying too much on old methods can stifle innovation. </w:t>
      </w:r>
      <w:r w:rsidR="00462625" w:rsidRPr="00462625">
        <w:t xml:space="preserve">A research institute resisted modern project management techniques, ultimately </w:t>
      </w:r>
      <w:r w:rsidR="00D96ECE">
        <w:t>missing</w:t>
      </w:r>
      <w:r w:rsidR="00462625" w:rsidRPr="00462625">
        <w:t xml:space="preserve"> opportunities to streamline operations and enhance collaboration</w:t>
      </w:r>
      <w:r w:rsidR="000448D0">
        <w:t>.</w:t>
      </w:r>
    </w:p>
    <w:p w14:paraId="197FB864" w14:textId="75522FB9" w:rsidR="00B574AE" w:rsidRDefault="00B574AE" w:rsidP="00B574AE">
      <w:r>
        <w:lastRenderedPageBreak/>
        <w:t xml:space="preserve">These challenges highlight a key truth: Decision-making isn’t just about choosing an option—it’s about having a structured, adaptable process. Without strategic direction, focused data analysis, and confident </w:t>
      </w:r>
      <w:r w:rsidR="00462625">
        <w:t>judgment</w:t>
      </w:r>
      <w:r>
        <w:t xml:space="preserve">, even well-intended decisions can fall short.  </w:t>
      </w:r>
    </w:p>
    <w:p w14:paraId="4F8DD99E" w14:textId="4BB973F3" w:rsidR="00EB0528" w:rsidRDefault="00B574AE" w:rsidP="00B574AE">
      <w:r>
        <w:t>To navigate complexity and improve decision outcomes, we must rethink how we balance human judgment and data analytics. Th</w:t>
      </w:r>
      <w:r w:rsidR="00D96ECE">
        <w:t>is</w:t>
      </w:r>
      <w:r>
        <w:t xml:space="preserve"> means understanding emotional intelligence, managing cognitive biases, and using practical analytical tools. More than just an optimization strategy, this synergy is an opportunity—to make more effective decisions with </w:t>
      </w:r>
      <w:r w:rsidRPr="004C6A65">
        <w:t>clarity and confidence</w:t>
      </w:r>
      <w:r w:rsidR="004702F6" w:rsidRPr="004C6A65">
        <w:t>.</w:t>
      </w:r>
    </w:p>
    <w:p w14:paraId="2E660ECC" w14:textId="74932A59" w:rsidR="00A35385" w:rsidRDefault="00A35385" w:rsidP="00A35385">
      <w:pPr>
        <w:pStyle w:val="Heading2"/>
      </w:pPr>
      <w:bookmarkStart w:id="12" w:name="_Toc191026908"/>
      <w:r>
        <w:t>Roles of Humans and Data in Decision-</w:t>
      </w:r>
      <w:r w:rsidR="003B59D8">
        <w:t>M</w:t>
      </w:r>
      <w:r>
        <w:t>aking Overview</w:t>
      </w:r>
      <w:bookmarkEnd w:id="12"/>
    </w:p>
    <w:p w14:paraId="56D4B6FB" w14:textId="46755678" w:rsidR="004C6A65" w:rsidRDefault="004C6A65" w:rsidP="004C6A65">
      <w:r>
        <w:t xml:space="preserve">Data analytics and human judgment are not just components but complementary forces in modern decision-making. With statistical tools, algorithms, and machine learning, data analytics uncovers patterns and trends in large datasets that might otherwise go unnoticed. </w:t>
      </w:r>
      <w:r w:rsidR="00581DA8" w:rsidRPr="00581DA8">
        <w:t xml:space="preserve">Human judgment, on the other hand, provides the intuitive and contextual understanding necessary for effective decision-making. Humans </w:t>
      </w:r>
      <w:r w:rsidR="00581DA8">
        <w:t xml:space="preserve">also </w:t>
      </w:r>
      <w:r w:rsidR="00581DA8" w:rsidRPr="00581DA8">
        <w:t xml:space="preserve">bring </w:t>
      </w:r>
      <w:r w:rsidR="00581DA8">
        <w:t xml:space="preserve">unique </w:t>
      </w:r>
      <w:r w:rsidR="00581DA8" w:rsidRPr="00581DA8">
        <w:t>strength to incorporating qualitative factors such as ethics, emotions, and long-term considerations that algorithms might miss</w:t>
      </w:r>
      <w:r>
        <w:t>.</w:t>
      </w:r>
    </w:p>
    <w:p w14:paraId="51F11EF2" w14:textId="48867F28" w:rsidR="00850858" w:rsidRDefault="004C6A65" w:rsidP="004C6A65">
      <w:r>
        <w:t>While data analytics processes information quickly and objectively, human intuition adds depth by interpreting insights within a broader context. Decision-makers rely on this synergy to evaluate financial, moral, and strategic implications, ensuring a balanced approach that optimizes efficiency, fosters innovation, and upholds ethical standards</w:t>
      </w:r>
      <w:r w:rsidR="00EB0528">
        <w:t>.</w:t>
      </w:r>
      <w:r w:rsidR="00581DA8">
        <w:t xml:space="preserve"> </w:t>
      </w:r>
      <w:r w:rsidR="000E5A44" w:rsidRPr="000E5A44">
        <w:t xml:space="preserve">Here, we </w:t>
      </w:r>
      <w:r w:rsidR="000E5A44">
        <w:t>examine</w:t>
      </w:r>
      <w:r w:rsidR="000E5A44" w:rsidRPr="000E5A44">
        <w:t xml:space="preserve"> the roles of data and human </w:t>
      </w:r>
      <w:r w:rsidR="000E5A44">
        <w:t>as well as</w:t>
      </w:r>
      <w:r w:rsidR="000E5A44" w:rsidRPr="000E5A44">
        <w:t xml:space="preserve"> the current trends in decision-making. A more detailed discussion will follow in subsequent chapters</w:t>
      </w:r>
      <w:r w:rsidR="00581DA8">
        <w:t>.</w:t>
      </w:r>
    </w:p>
    <w:p w14:paraId="38920CE1" w14:textId="18115D96" w:rsidR="00766C45" w:rsidRDefault="00766C45" w:rsidP="00766C45">
      <w:pPr>
        <w:pStyle w:val="Heading2"/>
      </w:pPr>
      <w:bookmarkStart w:id="13" w:name="_Toc191026909"/>
      <w:r>
        <w:t xml:space="preserve">Role of </w:t>
      </w:r>
      <w:r w:rsidR="00A35385">
        <w:t>D</w:t>
      </w:r>
      <w:r>
        <w:t xml:space="preserve">ata </w:t>
      </w:r>
      <w:r w:rsidR="00A35385">
        <w:t>A</w:t>
      </w:r>
      <w:r>
        <w:t xml:space="preserve">nalytics in </w:t>
      </w:r>
      <w:r w:rsidR="00A35385">
        <w:t>D</w:t>
      </w:r>
      <w:r>
        <w:t>ecision-</w:t>
      </w:r>
      <w:r w:rsidR="003B59D8">
        <w:t>M</w:t>
      </w:r>
      <w:r>
        <w:t>aking</w:t>
      </w:r>
      <w:bookmarkEnd w:id="13"/>
      <w:r>
        <w:t xml:space="preserve"> </w:t>
      </w:r>
    </w:p>
    <w:p w14:paraId="5604ED47" w14:textId="09F7F236" w:rsidR="00766C45" w:rsidRDefault="000E5A44" w:rsidP="00766C45">
      <w:r w:rsidRPr="000E5A44">
        <w:t xml:space="preserve">Data analytics technologies, including the latest artificial intelligence (AI) applications, have become more important in improving decision-making. For decades, these technologies have helped evaluate </w:t>
      </w:r>
      <w:r w:rsidRPr="000E5A44">
        <w:lastRenderedPageBreak/>
        <w:t>complex data and variables. Recent AI applications, like e-commerce recommenders, show just how much technology can change industries and everyday life. This power highlights how silicon-based computing is revolutionizing the way decisions are made</w:t>
      </w:r>
      <w:r w:rsidR="004421EE" w:rsidRPr="00A35385">
        <w:t>.</w:t>
      </w:r>
    </w:p>
    <w:p w14:paraId="3F69A2DB" w14:textId="0FB01FED" w:rsidR="00766C45" w:rsidRDefault="00766C45" w:rsidP="00766C45">
      <w:pPr>
        <w:pStyle w:val="Heading3"/>
      </w:pPr>
      <w:r>
        <w:t xml:space="preserve">Data </w:t>
      </w:r>
      <w:r w:rsidR="00A35385">
        <w:t>A</w:t>
      </w:r>
      <w:r>
        <w:t>nalytics and AI</w:t>
      </w:r>
    </w:p>
    <w:p w14:paraId="4F14D14E" w14:textId="7EDF0B55" w:rsidR="00DD6928" w:rsidRDefault="00DD6928" w:rsidP="00DD6928">
      <w:r>
        <w:t>It’s useful to first distinguish between data analytics and AI analytics.</w:t>
      </w:r>
    </w:p>
    <w:p w14:paraId="413534D4" w14:textId="6CAE8988" w:rsidR="008B3870" w:rsidRDefault="00DD6928" w:rsidP="00DD6928">
      <w:r>
        <w:t>Data analytics involves applying statistical analysis to historical data to identify patterns and trends for informed decision-making. This process relies heavily on human analysts to define assumptions, build models, and interpret results. As a result, traditional data analytics is most effective with structured data and well-defined problems</w:t>
      </w:r>
      <w:r w:rsidR="008B3870">
        <w:t>.</w:t>
      </w:r>
    </w:p>
    <w:p w14:paraId="4F8A5FB2" w14:textId="136B7C63" w:rsidR="00817C55" w:rsidRDefault="00A262D3" w:rsidP="008B3870">
      <w:r>
        <w:rPr>
          <w:noProof/>
        </w:rPr>
        <mc:AlternateContent>
          <mc:Choice Requires="wpg">
            <w:drawing>
              <wp:anchor distT="0" distB="0" distL="114300" distR="114300" simplePos="0" relativeHeight="251674624" behindDoc="0" locked="0" layoutInCell="1" allowOverlap="1" wp14:anchorId="1D8FAB9F" wp14:editId="29C6183F">
                <wp:simplePos x="0" y="0"/>
                <wp:positionH relativeFrom="column">
                  <wp:posOffset>372533</wp:posOffset>
                </wp:positionH>
                <wp:positionV relativeFrom="paragraph">
                  <wp:posOffset>441325</wp:posOffset>
                </wp:positionV>
                <wp:extent cx="5290838" cy="3656965"/>
                <wp:effectExtent l="0" t="0" r="5080" b="13335"/>
                <wp:wrapTopAndBottom/>
                <wp:docPr id="948045310" name="Group 17"/>
                <wp:cNvGraphicFramePr/>
                <a:graphic xmlns:a="http://schemas.openxmlformats.org/drawingml/2006/main">
                  <a:graphicData uri="http://schemas.microsoft.com/office/word/2010/wordprocessingGroup">
                    <wpg:wgp>
                      <wpg:cNvGrpSpPr/>
                      <wpg:grpSpPr>
                        <a:xfrm>
                          <a:off x="0" y="0"/>
                          <a:ext cx="5290838" cy="3656965"/>
                          <a:chOff x="0" y="0"/>
                          <a:chExt cx="5290838" cy="3656965"/>
                        </a:xfrm>
                      </wpg:grpSpPr>
                      <wps:wsp>
                        <wps:cNvPr id="1660214027" name="Oval 3">
                          <a:extLst>
                            <a:ext uri="{FF2B5EF4-FFF2-40B4-BE49-F238E27FC236}">
                              <a16:creationId xmlns:a16="http://schemas.microsoft.com/office/drawing/2014/main" id="{415007DB-76D9-1005-1E34-5978582A6426}"/>
                            </a:ext>
                          </a:extLst>
                        </wps:cNvPr>
                        <wps:cNvSpPr/>
                        <wps:spPr>
                          <a:xfrm>
                            <a:off x="0" y="0"/>
                            <a:ext cx="3656886" cy="3656965"/>
                          </a:xfrm>
                          <a:prstGeom prst="ellipse">
                            <a:avLst/>
                          </a:prstGeom>
                          <a:solidFill>
                            <a:srgbClr val="0070C0">
                              <a:alpha val="50196"/>
                            </a:srgb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14842832" name="Oval 4"/>
                        <wps:cNvSpPr/>
                        <wps:spPr>
                          <a:xfrm>
                            <a:off x="1617133" y="0"/>
                            <a:ext cx="3656886" cy="3656965"/>
                          </a:xfrm>
                          <a:prstGeom prst="ellipse">
                            <a:avLst/>
                          </a:prstGeom>
                          <a:solidFill>
                            <a:srgbClr val="00B0F0">
                              <a:alpha val="50196"/>
                            </a:srgb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89668985" name="TextBox 7">
                          <a:extLst>
                            <a:ext uri="{FF2B5EF4-FFF2-40B4-BE49-F238E27FC236}">
                              <a16:creationId xmlns:a16="http://schemas.microsoft.com/office/drawing/2014/main" id="{A82AFA29-D90C-6C7C-19D1-029D0C01CF45}"/>
                            </a:ext>
                          </a:extLst>
                        </wps:cNvPr>
                        <wps:cNvSpPr txBox="1"/>
                        <wps:spPr>
                          <a:xfrm>
                            <a:off x="2988203" y="143934"/>
                            <a:ext cx="1139190" cy="584835"/>
                          </a:xfrm>
                          <a:prstGeom prst="rect">
                            <a:avLst/>
                          </a:prstGeom>
                          <a:noFill/>
                        </wps:spPr>
                        <wps:txbx>
                          <w:txbxContent>
                            <w:p w14:paraId="56207A2A" w14:textId="77777777" w:rsidR="00817C55" w:rsidRDefault="00817C55" w:rsidP="00817C55">
                              <w:pPr>
                                <w:jc w:val="center"/>
                                <w:rPr>
                                  <w:rFonts w:ascii="Calibri" w:hAnsi="Calibri" w:cs="Calibri"/>
                                  <w:b/>
                                  <w:bCs/>
                                  <w:color w:val="000000" w:themeColor="text1"/>
                                  <w:kern w:val="24"/>
                                  <w:sz w:val="24"/>
                                  <w:szCs w:val="24"/>
                                  <w14:ligatures w14:val="none"/>
                                </w:rPr>
                              </w:pPr>
                              <w:r>
                                <w:rPr>
                                  <w:rFonts w:ascii="Calibri" w:hAnsi="Calibri" w:cs="Calibri"/>
                                  <w:b/>
                                  <w:bCs/>
                                  <w:color w:val="000000" w:themeColor="text1"/>
                                  <w:kern w:val="24"/>
                                </w:rPr>
                                <w:t>Data analytics</w:t>
                              </w:r>
                            </w:p>
                          </w:txbxContent>
                        </wps:txbx>
                        <wps:bodyPr wrap="square">
                          <a:spAutoFit/>
                        </wps:bodyPr>
                      </wps:wsp>
                      <wps:wsp>
                        <wps:cNvPr id="1573150144" name="TextBox 8">
                          <a:extLst>
                            <a:ext uri="{FF2B5EF4-FFF2-40B4-BE49-F238E27FC236}">
                              <a16:creationId xmlns:a16="http://schemas.microsoft.com/office/drawing/2014/main" id="{B001C30D-8112-11CB-804D-1FF0006050D8}"/>
                            </a:ext>
                          </a:extLst>
                        </wps:cNvPr>
                        <wps:cNvSpPr txBox="1"/>
                        <wps:spPr>
                          <a:xfrm>
                            <a:off x="1168192" y="101600"/>
                            <a:ext cx="1139190" cy="584835"/>
                          </a:xfrm>
                          <a:prstGeom prst="rect">
                            <a:avLst/>
                          </a:prstGeom>
                          <a:noFill/>
                        </wps:spPr>
                        <wps:txbx>
                          <w:txbxContent>
                            <w:p w14:paraId="36FB8629" w14:textId="77777777" w:rsidR="00817C55" w:rsidRDefault="00817C55" w:rsidP="00817C55">
                              <w:pPr>
                                <w:jc w:val="center"/>
                                <w:rPr>
                                  <w:rFonts w:ascii="Calibri" w:hAnsi="Calibri" w:cs="Calibri"/>
                                  <w:b/>
                                  <w:bCs/>
                                  <w:color w:val="000000" w:themeColor="text1"/>
                                  <w:kern w:val="24"/>
                                  <w:sz w:val="24"/>
                                  <w:szCs w:val="24"/>
                                  <w14:ligatures w14:val="none"/>
                                </w:rPr>
                              </w:pPr>
                              <w:r>
                                <w:rPr>
                                  <w:rFonts w:ascii="Calibri" w:hAnsi="Calibri" w:cs="Calibri"/>
                                  <w:b/>
                                  <w:bCs/>
                                  <w:color w:val="000000" w:themeColor="text1"/>
                                  <w:kern w:val="24"/>
                                </w:rPr>
                                <w:t>AI</w:t>
                              </w:r>
                            </w:p>
                          </w:txbxContent>
                        </wps:txbx>
                        <wps:bodyPr wrap="square">
                          <a:spAutoFit/>
                        </wps:bodyPr>
                      </wps:wsp>
                      <wps:wsp>
                        <wps:cNvPr id="144355638" name="TextBox 9">
                          <a:extLst>
                            <a:ext uri="{FF2B5EF4-FFF2-40B4-BE49-F238E27FC236}">
                              <a16:creationId xmlns:a16="http://schemas.microsoft.com/office/drawing/2014/main" id="{CE8B3A74-D571-F337-6342-68A3C188504E}"/>
                            </a:ext>
                          </a:extLst>
                        </wps:cNvPr>
                        <wps:cNvSpPr txBox="1"/>
                        <wps:spPr>
                          <a:xfrm>
                            <a:off x="3453810" y="795867"/>
                            <a:ext cx="1631315" cy="432435"/>
                          </a:xfrm>
                          <a:prstGeom prst="rect">
                            <a:avLst/>
                          </a:prstGeom>
                          <a:noFill/>
                        </wps:spPr>
                        <wps:txbx>
                          <w:txbxContent>
                            <w:p w14:paraId="6A5691C2" w14:textId="77777777" w:rsidR="00817C55" w:rsidRDefault="00817C55" w:rsidP="00817C55">
                              <w:pPr>
                                <w:pStyle w:val="NoSpacing"/>
                                <w:jc w:val="center"/>
                                <w:rPr>
                                  <w:sz w:val="24"/>
                                  <w:szCs w:val="24"/>
                                  <w14:ligatures w14:val="none"/>
                                </w:rPr>
                              </w:pPr>
                              <w:r>
                                <w:t>Descriptive analytics</w:t>
                              </w:r>
                            </w:p>
                            <w:p w14:paraId="1622A887" w14:textId="2909D95F" w:rsidR="00817C55" w:rsidRDefault="00817C55" w:rsidP="00817C55">
                              <w:pPr>
                                <w:pStyle w:val="NoSpacing"/>
                                <w:jc w:val="center"/>
                              </w:pPr>
                              <w:r>
                                <w:t>(e.g.</w:t>
                              </w:r>
                              <w:r w:rsidR="00A35385">
                                <w:t>,</w:t>
                              </w:r>
                              <w:r>
                                <w:t xml:space="preserve"> regression)</w:t>
                              </w:r>
                            </w:p>
                          </w:txbxContent>
                        </wps:txbx>
                        <wps:bodyPr wrap="square">
                          <a:spAutoFit/>
                        </wps:bodyPr>
                      </wps:wsp>
                      <wps:wsp>
                        <wps:cNvPr id="1561674557" name="TextBox 10">
                          <a:extLst>
                            <a:ext uri="{FF2B5EF4-FFF2-40B4-BE49-F238E27FC236}">
                              <a16:creationId xmlns:a16="http://schemas.microsoft.com/office/drawing/2014/main" id="{8168CDE8-ECE2-7F6E-2481-0BBCE27CC49C}"/>
                            </a:ext>
                          </a:extLst>
                        </wps:cNvPr>
                        <wps:cNvSpPr txBox="1"/>
                        <wps:spPr>
                          <a:xfrm>
                            <a:off x="1972396" y="685800"/>
                            <a:ext cx="1414145" cy="432435"/>
                          </a:xfrm>
                          <a:prstGeom prst="rect">
                            <a:avLst/>
                          </a:prstGeom>
                          <a:noFill/>
                        </wps:spPr>
                        <wps:txbx>
                          <w:txbxContent>
                            <w:p w14:paraId="4AA80FD8" w14:textId="77777777" w:rsidR="00817C55" w:rsidRDefault="00817C55" w:rsidP="00817C55">
                              <w:pPr>
                                <w:pStyle w:val="NoSpacing"/>
                                <w:jc w:val="center"/>
                                <w:rPr>
                                  <w:sz w:val="24"/>
                                  <w:szCs w:val="24"/>
                                  <w14:ligatures w14:val="none"/>
                                </w:rPr>
                              </w:pPr>
                              <w:r>
                                <w:t>Predictive analytics</w:t>
                              </w:r>
                            </w:p>
                            <w:p w14:paraId="2C74B247" w14:textId="1994B215" w:rsidR="00817C55" w:rsidRDefault="00817C55" w:rsidP="00817C55">
                              <w:pPr>
                                <w:pStyle w:val="NoSpacing"/>
                                <w:jc w:val="center"/>
                              </w:pPr>
                              <w:r>
                                <w:t>(e.g.</w:t>
                              </w:r>
                              <w:r w:rsidR="00A35385">
                                <w:t>,</w:t>
                              </w:r>
                              <w:r>
                                <w:t xml:space="preserve"> forecast)</w:t>
                              </w:r>
                            </w:p>
                          </w:txbxContent>
                        </wps:txbx>
                        <wps:bodyPr wrap="square">
                          <a:spAutoFit/>
                        </wps:bodyPr>
                      </wps:wsp>
                      <wps:wsp>
                        <wps:cNvPr id="1358458141" name="TextBox 11">
                          <a:extLst>
                            <a:ext uri="{FF2B5EF4-FFF2-40B4-BE49-F238E27FC236}">
                              <a16:creationId xmlns:a16="http://schemas.microsoft.com/office/drawing/2014/main" id="{80459A6D-A94E-E7BC-21E9-A87125DD0F22}"/>
                            </a:ext>
                          </a:extLst>
                        </wps:cNvPr>
                        <wps:cNvSpPr txBox="1"/>
                        <wps:spPr>
                          <a:xfrm>
                            <a:off x="2057048" y="1354667"/>
                            <a:ext cx="1546225" cy="432435"/>
                          </a:xfrm>
                          <a:prstGeom prst="rect">
                            <a:avLst/>
                          </a:prstGeom>
                          <a:noFill/>
                        </wps:spPr>
                        <wps:txbx>
                          <w:txbxContent>
                            <w:p w14:paraId="13E81B59" w14:textId="77777777" w:rsidR="00817C55" w:rsidRDefault="00817C55" w:rsidP="00817C55">
                              <w:pPr>
                                <w:pStyle w:val="NoSpacing"/>
                                <w:jc w:val="center"/>
                                <w:rPr>
                                  <w:sz w:val="24"/>
                                  <w:szCs w:val="24"/>
                                  <w14:ligatures w14:val="none"/>
                                </w:rPr>
                              </w:pPr>
                              <w:r>
                                <w:t>Prescriptive analytics</w:t>
                              </w:r>
                            </w:p>
                            <w:p w14:paraId="4A6DD8BC" w14:textId="78809DA0" w:rsidR="00817C55" w:rsidRDefault="00817C55" w:rsidP="00817C55">
                              <w:pPr>
                                <w:pStyle w:val="NoSpacing"/>
                                <w:jc w:val="center"/>
                              </w:pPr>
                              <w:r>
                                <w:t>(e.g.</w:t>
                              </w:r>
                              <w:r w:rsidR="00A35385">
                                <w:t>,</w:t>
                              </w:r>
                              <w:r>
                                <w:t xml:space="preserve"> A/B test)</w:t>
                              </w:r>
                            </w:p>
                          </w:txbxContent>
                        </wps:txbx>
                        <wps:bodyPr wrap="square">
                          <a:spAutoFit/>
                        </wps:bodyPr>
                      </wps:wsp>
                      <wps:wsp>
                        <wps:cNvPr id="2143025589" name="TextBox 12">
                          <a:extLst>
                            <a:ext uri="{FF2B5EF4-FFF2-40B4-BE49-F238E27FC236}">
                              <a16:creationId xmlns:a16="http://schemas.microsoft.com/office/drawing/2014/main" id="{8550C659-80AF-3768-1548-1779106FEED1}"/>
                            </a:ext>
                          </a:extLst>
                        </wps:cNvPr>
                        <wps:cNvSpPr txBox="1"/>
                        <wps:spPr>
                          <a:xfrm>
                            <a:off x="626425" y="2921000"/>
                            <a:ext cx="1139190" cy="432435"/>
                          </a:xfrm>
                          <a:prstGeom prst="rect">
                            <a:avLst/>
                          </a:prstGeom>
                          <a:noFill/>
                        </wps:spPr>
                        <wps:txbx>
                          <w:txbxContent>
                            <w:p w14:paraId="73206EFF" w14:textId="77777777" w:rsidR="00817C55" w:rsidRPr="00817C55" w:rsidRDefault="00817C55" w:rsidP="00817C55">
                              <w:pPr>
                                <w:pStyle w:val="NoSpacing"/>
                                <w:jc w:val="center"/>
                                <w:rPr>
                                  <w:b/>
                                  <w:bCs/>
                                  <w:sz w:val="24"/>
                                  <w:szCs w:val="24"/>
                                  <w14:ligatures w14:val="none"/>
                                </w:rPr>
                              </w:pPr>
                              <w:r w:rsidRPr="00817C55">
                                <w:rPr>
                                  <w:b/>
                                  <w:bCs/>
                                </w:rPr>
                                <w:t>Machine Learning</w:t>
                              </w:r>
                            </w:p>
                          </w:txbxContent>
                        </wps:txbx>
                        <wps:bodyPr wrap="square">
                          <a:spAutoFit/>
                        </wps:bodyPr>
                      </wps:wsp>
                      <wps:wsp>
                        <wps:cNvPr id="1503525962" name="TextBox 13">
                          <a:extLst>
                            <a:ext uri="{FF2B5EF4-FFF2-40B4-BE49-F238E27FC236}">
                              <a16:creationId xmlns:a16="http://schemas.microsoft.com/office/drawing/2014/main" id="{0ED0AB20-ECDC-7865-F8FB-51189F89A651}"/>
                            </a:ext>
                          </a:extLst>
                        </wps:cNvPr>
                        <wps:cNvSpPr txBox="1"/>
                        <wps:spPr>
                          <a:xfrm>
                            <a:off x="3318366" y="2700867"/>
                            <a:ext cx="1618615" cy="432435"/>
                          </a:xfrm>
                          <a:prstGeom prst="rect">
                            <a:avLst/>
                          </a:prstGeom>
                          <a:noFill/>
                        </wps:spPr>
                        <wps:txbx>
                          <w:txbxContent>
                            <w:p w14:paraId="3E4F3083" w14:textId="77777777" w:rsidR="00817C55" w:rsidRDefault="00817C55" w:rsidP="00817C55">
                              <w:pPr>
                                <w:pStyle w:val="NoSpacing"/>
                                <w:jc w:val="center"/>
                                <w:rPr>
                                  <w:sz w:val="24"/>
                                  <w:szCs w:val="24"/>
                                  <w14:ligatures w14:val="none"/>
                                </w:rPr>
                              </w:pPr>
                              <w:r>
                                <w:t>Visualization</w:t>
                              </w:r>
                            </w:p>
                            <w:p w14:paraId="7F04DF70" w14:textId="4B443AEE" w:rsidR="00817C55" w:rsidRDefault="00817C55" w:rsidP="00817C55">
                              <w:pPr>
                                <w:pStyle w:val="NoSpacing"/>
                                <w:jc w:val="center"/>
                              </w:pPr>
                              <w:r>
                                <w:t>(e.g.</w:t>
                              </w:r>
                              <w:r w:rsidR="00A262D3">
                                <w:t>,</w:t>
                              </w:r>
                              <w:r>
                                <w:t xml:space="preserve"> KPI dashboard)</w:t>
                              </w:r>
                            </w:p>
                          </w:txbxContent>
                        </wps:txbx>
                        <wps:bodyPr wrap="square">
                          <a:spAutoFit/>
                        </wps:bodyPr>
                      </wps:wsp>
                      <wps:wsp>
                        <wps:cNvPr id="1377966295" name="TextBox 19">
                          <a:extLst>
                            <a:ext uri="{FF2B5EF4-FFF2-40B4-BE49-F238E27FC236}">
                              <a16:creationId xmlns:a16="http://schemas.microsoft.com/office/drawing/2014/main" id="{490FFD6C-7C88-4510-0AE5-81EA3722732D}"/>
                            </a:ext>
                          </a:extLst>
                        </wps:cNvPr>
                        <wps:cNvSpPr txBox="1"/>
                        <wps:spPr>
                          <a:xfrm>
                            <a:off x="3606183" y="1786467"/>
                            <a:ext cx="1684655" cy="432435"/>
                          </a:xfrm>
                          <a:prstGeom prst="rect">
                            <a:avLst/>
                          </a:prstGeom>
                          <a:noFill/>
                        </wps:spPr>
                        <wps:txbx>
                          <w:txbxContent>
                            <w:p w14:paraId="78FCC152" w14:textId="221F2E6C" w:rsidR="00817C55" w:rsidRDefault="00817C55" w:rsidP="00817C55">
                              <w:pPr>
                                <w:pStyle w:val="NoSpacing"/>
                                <w:jc w:val="center"/>
                                <w:rPr>
                                  <w14:ligatures w14:val="none"/>
                                </w:rPr>
                              </w:pPr>
                              <w:r>
                                <w:t>Diagnostic analytics</w:t>
                              </w:r>
                            </w:p>
                            <w:p w14:paraId="13916DE3" w14:textId="015F9783" w:rsidR="00817C55" w:rsidRDefault="00817C55" w:rsidP="00817C55">
                              <w:pPr>
                                <w:pStyle w:val="NoSpacing"/>
                                <w:jc w:val="center"/>
                              </w:pPr>
                              <w:r>
                                <w:t>(e.g.</w:t>
                              </w:r>
                              <w:r w:rsidR="00A262D3">
                                <w:t>,</w:t>
                              </w:r>
                              <w:r>
                                <w:t xml:space="preserve"> statistic correlation)</w:t>
                              </w:r>
                            </w:p>
                          </w:txbxContent>
                        </wps:txbx>
                        <wps:bodyPr wrap="square">
                          <a:spAutoFit/>
                        </wps:bodyPr>
                      </wps:wsp>
                      <wps:wsp>
                        <wps:cNvPr id="866698717" name="TextBox 20">
                          <a:extLst>
                            <a:ext uri="{FF2B5EF4-FFF2-40B4-BE49-F238E27FC236}">
                              <a16:creationId xmlns:a16="http://schemas.microsoft.com/office/drawing/2014/main" id="{66F3D373-08B2-D906-BB12-CFB784050A01}"/>
                            </a:ext>
                          </a:extLst>
                        </wps:cNvPr>
                        <wps:cNvSpPr txBox="1"/>
                        <wps:spPr>
                          <a:xfrm>
                            <a:off x="558712" y="533400"/>
                            <a:ext cx="1336040" cy="432435"/>
                          </a:xfrm>
                          <a:prstGeom prst="rect">
                            <a:avLst/>
                          </a:prstGeom>
                          <a:noFill/>
                        </wps:spPr>
                        <wps:txbx>
                          <w:txbxContent>
                            <w:p w14:paraId="4D31641F" w14:textId="77777777" w:rsidR="00817C55" w:rsidRDefault="00817C55" w:rsidP="00817C55">
                              <w:pPr>
                                <w:pStyle w:val="NoSpacing"/>
                                <w:jc w:val="center"/>
                                <w:rPr>
                                  <w:sz w:val="24"/>
                                  <w:szCs w:val="24"/>
                                  <w14:ligatures w14:val="none"/>
                                </w:rPr>
                              </w:pPr>
                              <w:r>
                                <w:t>Expert system</w:t>
                              </w:r>
                            </w:p>
                            <w:p w14:paraId="7ADADE1D" w14:textId="2E543C82" w:rsidR="00817C55" w:rsidRDefault="00817C55" w:rsidP="00817C55">
                              <w:pPr>
                                <w:pStyle w:val="NoSpacing"/>
                                <w:jc w:val="center"/>
                              </w:pPr>
                              <w:r>
                                <w:t>(e.g.</w:t>
                              </w:r>
                              <w:r w:rsidR="00A35385">
                                <w:t>,</w:t>
                              </w:r>
                              <w:r>
                                <w:t xml:space="preserve"> decision tree)</w:t>
                              </w:r>
                            </w:p>
                          </w:txbxContent>
                        </wps:txbx>
                        <wps:bodyPr wrap="square">
                          <a:spAutoFit/>
                        </wps:bodyPr>
                      </wps:wsp>
                      <wps:wsp>
                        <wps:cNvPr id="1817713926" name="TextBox 21">
                          <a:extLst>
                            <a:ext uri="{FF2B5EF4-FFF2-40B4-BE49-F238E27FC236}">
                              <a16:creationId xmlns:a16="http://schemas.microsoft.com/office/drawing/2014/main" id="{A1B35F8D-AAE5-1F01-0BE8-539094B6785A}"/>
                            </a:ext>
                          </a:extLst>
                        </wps:cNvPr>
                        <wps:cNvSpPr txBox="1"/>
                        <wps:spPr>
                          <a:xfrm>
                            <a:off x="524850" y="1278467"/>
                            <a:ext cx="1088390" cy="432435"/>
                          </a:xfrm>
                          <a:prstGeom prst="rect">
                            <a:avLst/>
                          </a:prstGeom>
                          <a:noFill/>
                        </wps:spPr>
                        <wps:txbx>
                          <w:txbxContent>
                            <w:p w14:paraId="3987EB1B" w14:textId="77777777" w:rsidR="00817C55" w:rsidRDefault="00817C55" w:rsidP="00817C55">
                              <w:pPr>
                                <w:pStyle w:val="NoSpacing"/>
                                <w:jc w:val="center"/>
                                <w:rPr>
                                  <w14:ligatures w14:val="none"/>
                                </w:rPr>
                              </w:pPr>
                              <w:r>
                                <w:t>NLP</w:t>
                              </w:r>
                            </w:p>
                            <w:p w14:paraId="2E534C4B" w14:textId="755F0528" w:rsidR="00817C55" w:rsidRDefault="00817C55" w:rsidP="00817C55">
                              <w:pPr>
                                <w:pStyle w:val="NoSpacing"/>
                                <w:jc w:val="center"/>
                              </w:pPr>
                              <w:r>
                                <w:t>(e.g.</w:t>
                              </w:r>
                              <w:r w:rsidR="00A35385">
                                <w:t>,</w:t>
                              </w:r>
                              <w:r>
                                <w:t xml:space="preserve"> ChatGPT)</w:t>
                              </w:r>
                            </w:p>
                          </w:txbxContent>
                        </wps:txbx>
                        <wps:bodyPr wrap="square">
                          <a:spAutoFit/>
                        </wps:bodyPr>
                      </wps:wsp>
                      <wps:wsp>
                        <wps:cNvPr id="386822763" name="TextBox 22">
                          <a:extLst>
                            <a:ext uri="{FF2B5EF4-FFF2-40B4-BE49-F238E27FC236}">
                              <a16:creationId xmlns:a16="http://schemas.microsoft.com/office/drawing/2014/main" id="{DAE0D347-7F0E-2F58-4ADE-65C9E44DDDFB}"/>
                            </a:ext>
                          </a:extLst>
                        </wps:cNvPr>
                        <wps:cNvSpPr txBox="1"/>
                        <wps:spPr>
                          <a:xfrm>
                            <a:off x="169306" y="1828800"/>
                            <a:ext cx="1598930" cy="432435"/>
                          </a:xfrm>
                          <a:prstGeom prst="rect">
                            <a:avLst/>
                          </a:prstGeom>
                          <a:noFill/>
                        </wps:spPr>
                        <wps:txbx>
                          <w:txbxContent>
                            <w:p w14:paraId="4CA298C9" w14:textId="77777777" w:rsidR="00817C55" w:rsidRDefault="00817C55" w:rsidP="00817C55">
                              <w:pPr>
                                <w:pStyle w:val="NoSpacing"/>
                                <w:jc w:val="center"/>
                                <w:rPr>
                                  <w14:ligatures w14:val="none"/>
                                </w:rPr>
                              </w:pPr>
                              <w:r>
                                <w:t>Computer vision</w:t>
                              </w:r>
                            </w:p>
                            <w:p w14:paraId="14CC320F" w14:textId="5955C9AA" w:rsidR="00817C55" w:rsidRDefault="00817C55" w:rsidP="00817C55">
                              <w:pPr>
                                <w:pStyle w:val="NoSpacing"/>
                                <w:jc w:val="center"/>
                              </w:pPr>
                              <w:r>
                                <w:t>(e.g.</w:t>
                              </w:r>
                              <w:r w:rsidR="00A35385">
                                <w:t>,</w:t>
                              </w:r>
                              <w:r>
                                <w:t xml:space="preserve"> image recognition)</w:t>
                              </w:r>
                            </w:p>
                          </w:txbxContent>
                        </wps:txbx>
                        <wps:bodyPr wrap="square">
                          <a:spAutoFit/>
                        </wps:bodyPr>
                      </wps:wsp>
                      <wps:wsp>
                        <wps:cNvPr id="394343984" name="TextBox 23">
                          <a:extLst>
                            <a:ext uri="{FF2B5EF4-FFF2-40B4-BE49-F238E27FC236}">
                              <a16:creationId xmlns:a16="http://schemas.microsoft.com/office/drawing/2014/main" id="{DCDB1229-CCCE-2732-8103-538D7EB348B6}"/>
                            </a:ext>
                          </a:extLst>
                        </wps:cNvPr>
                        <wps:cNvSpPr txBox="1"/>
                        <wps:spPr>
                          <a:xfrm>
                            <a:off x="1896234" y="2319867"/>
                            <a:ext cx="1631950" cy="603250"/>
                          </a:xfrm>
                          <a:prstGeom prst="rect">
                            <a:avLst/>
                          </a:prstGeom>
                          <a:noFill/>
                        </wps:spPr>
                        <wps:txbx>
                          <w:txbxContent>
                            <w:p w14:paraId="78A93785" w14:textId="77777777" w:rsidR="00817C55" w:rsidRDefault="00817C55" w:rsidP="00817C55">
                              <w:pPr>
                                <w:pStyle w:val="NoSpacing"/>
                                <w:jc w:val="center"/>
                                <w:rPr>
                                  <w:sz w:val="24"/>
                                  <w:szCs w:val="24"/>
                                  <w14:ligatures w14:val="none"/>
                                </w:rPr>
                              </w:pPr>
                              <w:r>
                                <w:t>Optimization</w:t>
                              </w:r>
                            </w:p>
                            <w:p w14:paraId="0EC3F3DD" w14:textId="792C06B2" w:rsidR="00817C55" w:rsidRDefault="00817C55" w:rsidP="00817C55">
                              <w:pPr>
                                <w:pStyle w:val="NoSpacing"/>
                                <w:jc w:val="center"/>
                              </w:pPr>
                              <w:r>
                                <w:t>(e.g.</w:t>
                              </w:r>
                              <w:r w:rsidR="00A35385">
                                <w:t>,</w:t>
                              </w:r>
                              <w:r>
                                <w:t xml:space="preserve"> demand-driven production)</w:t>
                              </w:r>
                            </w:p>
                          </w:txbxContent>
                        </wps:txbx>
                        <wps:bodyPr wrap="square">
                          <a:spAutoFit/>
                        </wps:bodyPr>
                      </wps:wsp>
                      <wps:wsp>
                        <wps:cNvPr id="451225959" name="TextBox 24">
                          <a:extLst>
                            <a:ext uri="{FF2B5EF4-FFF2-40B4-BE49-F238E27FC236}">
                              <a16:creationId xmlns:a16="http://schemas.microsoft.com/office/drawing/2014/main" id="{19FA5B75-2ECE-83B1-9831-08ACC411C559}"/>
                            </a:ext>
                          </a:extLst>
                        </wps:cNvPr>
                        <wps:cNvSpPr txBox="1"/>
                        <wps:spPr>
                          <a:xfrm>
                            <a:off x="228563" y="2345267"/>
                            <a:ext cx="1478915" cy="432435"/>
                          </a:xfrm>
                          <a:prstGeom prst="rect">
                            <a:avLst/>
                          </a:prstGeom>
                          <a:noFill/>
                        </wps:spPr>
                        <wps:txbx>
                          <w:txbxContent>
                            <w:p w14:paraId="0E6F1338" w14:textId="77777777" w:rsidR="00817C55" w:rsidRDefault="00817C55" w:rsidP="00817C55">
                              <w:pPr>
                                <w:pStyle w:val="NoSpacing"/>
                                <w:jc w:val="center"/>
                                <w:rPr>
                                  <w14:ligatures w14:val="none"/>
                                </w:rPr>
                              </w:pPr>
                              <w:r>
                                <w:t>Recommender</w:t>
                              </w:r>
                            </w:p>
                            <w:p w14:paraId="56410C15" w14:textId="4B265B98" w:rsidR="00817C55" w:rsidRDefault="00817C55" w:rsidP="00817C55">
                              <w:pPr>
                                <w:pStyle w:val="NoSpacing"/>
                                <w:jc w:val="center"/>
                              </w:pPr>
                              <w:r>
                                <w:t>(e.g.</w:t>
                              </w:r>
                              <w:r w:rsidR="00A35385">
                                <w:t>,</w:t>
                              </w:r>
                              <w:r>
                                <w:t xml:space="preserve"> e-Commerce)</w:t>
                              </w:r>
                            </w:p>
                          </w:txbxContent>
                        </wps:txbx>
                        <wps:bodyPr wrap="square">
                          <a:spAutoFit/>
                        </wps:bodyPr>
                      </wps:wsp>
                    </wpg:wgp>
                  </a:graphicData>
                </a:graphic>
              </wp:anchor>
            </w:drawing>
          </mc:Choice>
          <mc:Fallback>
            <w:pict>
              <v:group w14:anchorId="1D8FAB9F" id="Group 17" o:spid="_x0000_s1026" style="position:absolute;margin-left:29.35pt;margin-top:34.75pt;width:416.6pt;height:287.95pt;z-index:251674624" coordsize="52908,3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">
                <v:oval id="Oval 3" o:spid="_x0000_s1027" style="position:absolute;width:36568;height:365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" fillcolor="#0070c0" strokecolor="#09101d [484]" strokeweight="1pt">
                  <v:fill opacity="32896f"/>
                  <v:stroke joinstyle="miter"/>
                </v:oval>
                <v:oval id="Oval 4" o:spid="_x0000_s1028" style="position:absolute;left:16171;width:36569;height:365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" fillcolor="#00b0f0" strokecolor="#09101d [484]" strokeweight="1pt">
                  <v:fill opacity="32896f"/>
                  <v:stroke joinstyle="miter"/>
                </v:oval>
                <v:shapetype id="_x0000_t202" coordsize="21600,21600" o:spt="202" path="m,l,21600r21600,l21600,xe">
                  <v:stroke joinstyle="miter"/>
                  <v:path gradientshapeok="t" o:connecttype="rect"/>
                </v:shapetype>
                <v:shape id="TextBox 7" o:spid="_x0000_s1029" type="#_x0000_t202" style="position:absolute;left:29882;top:1439;width:11391;height:5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" filled="f" stroked="f">
                  <v:textbox style="mso-fit-shape-to-text:t">
                    <w:txbxContent>
                      <w:p w14:paraId="56207A2A" w14:textId="77777777" w:rsidR="00817C55" w:rsidRDefault="00817C55" w:rsidP="00817C55">
                        <w:pPr>
                          <w:jc w:val="center"/>
                          <w:rPr>
                            <w:rFonts w:ascii="Calibri" w:hAnsi="Calibri" w:cs="Calibri"/>
                            <w:b/>
                            <w:bCs/>
                            <w:color w:val="000000" w:themeColor="text1"/>
                            <w:kern w:val="24"/>
                            <w:sz w:val="24"/>
                            <w:szCs w:val="24"/>
                            <w14:ligatures w14:val="none"/>
                          </w:rPr>
                        </w:pPr>
                        <w:r>
                          <w:rPr>
                            <w:rFonts w:ascii="Calibri" w:hAnsi="Calibri" w:cs="Calibri"/>
                            <w:b/>
                            <w:bCs/>
                            <w:color w:val="000000" w:themeColor="text1"/>
                            <w:kern w:val="24"/>
                          </w:rPr>
                          <w:t>Data analytics</w:t>
                        </w:r>
                      </w:p>
                    </w:txbxContent>
                  </v:textbox>
                </v:shape>
                <v:shape id="TextBox 8" o:spid="_x0000_s1030" type="#_x0000_t202" style="position:absolute;left:11681;top:1016;width:11392;height:5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" filled="f" stroked="f">
                  <v:textbox style="mso-fit-shape-to-text:t">
                    <w:txbxContent>
                      <w:p w14:paraId="36FB8629" w14:textId="77777777" w:rsidR="00817C55" w:rsidRDefault="00817C55" w:rsidP="00817C55">
                        <w:pPr>
                          <w:jc w:val="center"/>
                          <w:rPr>
                            <w:rFonts w:ascii="Calibri" w:hAnsi="Calibri" w:cs="Calibri"/>
                            <w:b/>
                            <w:bCs/>
                            <w:color w:val="000000" w:themeColor="text1"/>
                            <w:kern w:val="24"/>
                            <w:sz w:val="24"/>
                            <w:szCs w:val="24"/>
                            <w14:ligatures w14:val="none"/>
                          </w:rPr>
                        </w:pPr>
                        <w:r>
                          <w:rPr>
                            <w:rFonts w:ascii="Calibri" w:hAnsi="Calibri" w:cs="Calibri"/>
                            <w:b/>
                            <w:bCs/>
                            <w:color w:val="000000" w:themeColor="text1"/>
                            <w:kern w:val="24"/>
                          </w:rPr>
                          <w:t>AI</w:t>
                        </w:r>
                      </w:p>
                    </w:txbxContent>
                  </v:textbox>
                </v:shape>
                <v:shape id="TextBox 9" o:spid="_x0000_s1031" type="#_x0000_t202" style="position:absolute;left:34538;top:7958;width:16313;height:4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" filled="f" stroked="f">
                  <v:textbox style="mso-fit-shape-to-text:t">
                    <w:txbxContent>
                      <w:p w14:paraId="6A5691C2" w14:textId="77777777" w:rsidR="00817C55" w:rsidRDefault="00817C55" w:rsidP="00817C55">
                        <w:pPr>
                          <w:pStyle w:val="NoSpacing"/>
                          <w:jc w:val="center"/>
                          <w:rPr>
                            <w:sz w:val="24"/>
                            <w:szCs w:val="24"/>
                            <w14:ligatures w14:val="none"/>
                          </w:rPr>
                        </w:pPr>
                        <w:r>
                          <w:t>Descriptive analytics</w:t>
                        </w:r>
                      </w:p>
                      <w:p w14:paraId="1622A887" w14:textId="2909D95F" w:rsidR="00817C55" w:rsidRDefault="00817C55" w:rsidP="00817C55">
                        <w:pPr>
                          <w:pStyle w:val="NoSpacing"/>
                          <w:jc w:val="center"/>
                        </w:pPr>
                        <w:r>
                          <w:t>(e.g.</w:t>
                        </w:r>
                        <w:r w:rsidR="00A35385">
                          <w:t>,</w:t>
                        </w:r>
                        <w:r>
                          <w:t xml:space="preserve"> regression)</w:t>
                        </w:r>
                      </w:p>
                    </w:txbxContent>
                  </v:textbox>
                </v:shape>
                <v:shape id="TextBox 10" o:spid="_x0000_s1032" type="#_x0000_t202" style="position:absolute;left:19723;top:6858;width:14142;height:4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" filled="f" stroked="f">
                  <v:textbox style="mso-fit-shape-to-text:t">
                    <w:txbxContent>
                      <w:p w14:paraId="4AA80FD8" w14:textId="77777777" w:rsidR="00817C55" w:rsidRDefault="00817C55" w:rsidP="00817C55">
                        <w:pPr>
                          <w:pStyle w:val="NoSpacing"/>
                          <w:jc w:val="center"/>
                          <w:rPr>
                            <w:sz w:val="24"/>
                            <w:szCs w:val="24"/>
                            <w14:ligatures w14:val="none"/>
                          </w:rPr>
                        </w:pPr>
                        <w:r>
                          <w:t>Predictive analytics</w:t>
                        </w:r>
                      </w:p>
                      <w:p w14:paraId="2C74B247" w14:textId="1994B215" w:rsidR="00817C55" w:rsidRDefault="00817C55" w:rsidP="00817C55">
                        <w:pPr>
                          <w:pStyle w:val="NoSpacing"/>
                          <w:jc w:val="center"/>
                        </w:pPr>
                        <w:r>
                          <w:t>(e.g.</w:t>
                        </w:r>
                        <w:r w:rsidR="00A35385">
                          <w:t>,</w:t>
                        </w:r>
                        <w:r>
                          <w:t xml:space="preserve"> forecast)</w:t>
                        </w:r>
                      </w:p>
                    </w:txbxContent>
                  </v:textbox>
                </v:shape>
                <v:shape id="TextBox 11" o:spid="_x0000_s1033" type="#_x0000_t202" style="position:absolute;left:20570;top:13546;width:15462;height:4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" filled="f" stroked="f">
                  <v:textbox style="mso-fit-shape-to-text:t">
                    <w:txbxContent>
                      <w:p w14:paraId="13E81B59" w14:textId="77777777" w:rsidR="00817C55" w:rsidRDefault="00817C55" w:rsidP="00817C55">
                        <w:pPr>
                          <w:pStyle w:val="NoSpacing"/>
                          <w:jc w:val="center"/>
                          <w:rPr>
                            <w:sz w:val="24"/>
                            <w:szCs w:val="24"/>
                            <w14:ligatures w14:val="none"/>
                          </w:rPr>
                        </w:pPr>
                        <w:r>
                          <w:t>Prescriptive analytics</w:t>
                        </w:r>
                      </w:p>
                      <w:p w14:paraId="4A6DD8BC" w14:textId="78809DA0" w:rsidR="00817C55" w:rsidRDefault="00817C55" w:rsidP="00817C55">
                        <w:pPr>
                          <w:pStyle w:val="NoSpacing"/>
                          <w:jc w:val="center"/>
                        </w:pPr>
                        <w:r>
                          <w:t>(e.g.</w:t>
                        </w:r>
                        <w:r w:rsidR="00A35385">
                          <w:t>,</w:t>
                        </w:r>
                        <w:r>
                          <w:t xml:space="preserve"> A/B test)</w:t>
                        </w:r>
                      </w:p>
                    </w:txbxContent>
                  </v:textbox>
                </v:shape>
                <v:shape id="TextBox 12" o:spid="_x0000_s1034" type="#_x0000_t202" style="position:absolute;left:6264;top:29210;width:11392;height:4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" filled="f" stroked="f">
                  <v:textbox style="mso-fit-shape-to-text:t">
                    <w:txbxContent>
                      <w:p w14:paraId="73206EFF" w14:textId="77777777" w:rsidR="00817C55" w:rsidRPr="00817C55" w:rsidRDefault="00817C55" w:rsidP="00817C55">
                        <w:pPr>
                          <w:pStyle w:val="NoSpacing"/>
                          <w:jc w:val="center"/>
                          <w:rPr>
                            <w:b/>
                            <w:bCs/>
                            <w:sz w:val="24"/>
                            <w:szCs w:val="24"/>
                            <w14:ligatures w14:val="none"/>
                          </w:rPr>
                        </w:pPr>
                        <w:r w:rsidRPr="00817C55">
                          <w:rPr>
                            <w:b/>
                            <w:bCs/>
                          </w:rPr>
                          <w:t>Machine Learning</w:t>
                        </w:r>
                      </w:p>
                    </w:txbxContent>
                  </v:textbox>
                </v:shape>
                <v:shape id="TextBox 13" o:spid="_x0000_s1035" type="#_x0000_t202" style="position:absolute;left:33183;top:27008;width:16186;height:4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" filled="f" stroked="f">
                  <v:textbox style="mso-fit-shape-to-text:t">
                    <w:txbxContent>
                      <w:p w14:paraId="3E4F3083" w14:textId="77777777" w:rsidR="00817C55" w:rsidRDefault="00817C55" w:rsidP="00817C55">
                        <w:pPr>
                          <w:pStyle w:val="NoSpacing"/>
                          <w:jc w:val="center"/>
                          <w:rPr>
                            <w:sz w:val="24"/>
                            <w:szCs w:val="24"/>
                            <w14:ligatures w14:val="none"/>
                          </w:rPr>
                        </w:pPr>
                        <w:r>
                          <w:t>Visualization</w:t>
                        </w:r>
                      </w:p>
                      <w:p w14:paraId="7F04DF70" w14:textId="4B443AEE" w:rsidR="00817C55" w:rsidRDefault="00817C55" w:rsidP="00817C55">
                        <w:pPr>
                          <w:pStyle w:val="NoSpacing"/>
                          <w:jc w:val="center"/>
                        </w:pPr>
                        <w:r>
                          <w:t>(e.g.</w:t>
                        </w:r>
                        <w:r w:rsidR="00A262D3">
                          <w:t>,</w:t>
                        </w:r>
                        <w:r>
                          <w:t xml:space="preserve"> KPI dashboard)</w:t>
                        </w:r>
                      </w:p>
                    </w:txbxContent>
                  </v:textbox>
                </v:shape>
                <v:shape id="TextBox 19" o:spid="_x0000_s1036" type="#_x0000_t202" style="position:absolute;left:36061;top:17864;width:16847;height:4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" filled="f" stroked="f">
                  <v:textbox style="mso-fit-shape-to-text:t">
                    <w:txbxContent>
                      <w:p w14:paraId="78FCC152" w14:textId="221F2E6C" w:rsidR="00817C55" w:rsidRDefault="00817C55" w:rsidP="00817C55">
                        <w:pPr>
                          <w:pStyle w:val="NoSpacing"/>
                          <w:jc w:val="center"/>
                          <w:rPr>
                            <w14:ligatures w14:val="none"/>
                          </w:rPr>
                        </w:pPr>
                        <w:r>
                          <w:t>Diagnostic analytics</w:t>
                        </w:r>
                      </w:p>
                      <w:p w14:paraId="13916DE3" w14:textId="015F9783" w:rsidR="00817C55" w:rsidRDefault="00817C55" w:rsidP="00817C55">
                        <w:pPr>
                          <w:pStyle w:val="NoSpacing"/>
                          <w:jc w:val="center"/>
                        </w:pPr>
                        <w:r>
                          <w:t>(e.g.</w:t>
                        </w:r>
                        <w:r w:rsidR="00A262D3">
                          <w:t>,</w:t>
                        </w:r>
                        <w:r>
                          <w:t xml:space="preserve"> statistic correlation)</w:t>
                        </w:r>
                      </w:p>
                    </w:txbxContent>
                  </v:textbox>
                </v:shape>
                <v:shape id="TextBox 20" o:spid="_x0000_s1037" type="#_x0000_t202" style="position:absolute;left:5587;top:5334;width:13360;height:4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" filled="f" stroked="f">
                  <v:textbox style="mso-fit-shape-to-text:t">
                    <w:txbxContent>
                      <w:p w14:paraId="4D31641F" w14:textId="77777777" w:rsidR="00817C55" w:rsidRDefault="00817C55" w:rsidP="00817C55">
                        <w:pPr>
                          <w:pStyle w:val="NoSpacing"/>
                          <w:jc w:val="center"/>
                          <w:rPr>
                            <w:sz w:val="24"/>
                            <w:szCs w:val="24"/>
                            <w14:ligatures w14:val="none"/>
                          </w:rPr>
                        </w:pPr>
                        <w:r>
                          <w:t>Expert system</w:t>
                        </w:r>
                      </w:p>
                      <w:p w14:paraId="7ADADE1D" w14:textId="2E543C82" w:rsidR="00817C55" w:rsidRDefault="00817C55" w:rsidP="00817C55">
                        <w:pPr>
                          <w:pStyle w:val="NoSpacing"/>
                          <w:jc w:val="center"/>
                        </w:pPr>
                        <w:r>
                          <w:t>(e.g.</w:t>
                        </w:r>
                        <w:r w:rsidR="00A35385">
                          <w:t>,</w:t>
                        </w:r>
                        <w:r>
                          <w:t xml:space="preserve"> decision tree)</w:t>
                        </w:r>
                      </w:p>
                    </w:txbxContent>
                  </v:textbox>
                </v:shape>
                <v:shape id="TextBox 21" o:spid="_x0000_s1038" type="#_x0000_t202" style="position:absolute;left:5248;top:12784;width:10884;height:4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" filled="f" stroked="f">
                  <v:textbox style="mso-fit-shape-to-text:t">
                    <w:txbxContent>
                      <w:p w14:paraId="3987EB1B" w14:textId="77777777" w:rsidR="00817C55" w:rsidRDefault="00817C55" w:rsidP="00817C55">
                        <w:pPr>
                          <w:pStyle w:val="NoSpacing"/>
                          <w:jc w:val="center"/>
                          <w:rPr>
                            <w14:ligatures w14:val="none"/>
                          </w:rPr>
                        </w:pPr>
                        <w:r>
                          <w:t>NLP</w:t>
                        </w:r>
                      </w:p>
                      <w:p w14:paraId="2E534C4B" w14:textId="755F0528" w:rsidR="00817C55" w:rsidRDefault="00817C55" w:rsidP="00817C55">
                        <w:pPr>
                          <w:pStyle w:val="NoSpacing"/>
                          <w:jc w:val="center"/>
                        </w:pPr>
                        <w:r>
                          <w:t>(e.g.</w:t>
                        </w:r>
                        <w:r w:rsidR="00A35385">
                          <w:t>,</w:t>
                        </w:r>
                        <w:r>
                          <w:t xml:space="preserve"> ChatGPT)</w:t>
                        </w:r>
                      </w:p>
                    </w:txbxContent>
                  </v:textbox>
                </v:shape>
                <v:shape id="TextBox 22" o:spid="_x0000_s1039" type="#_x0000_t202" style="position:absolute;left:1693;top:18288;width:15989;height:4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" filled="f" stroked="f">
                  <v:textbox style="mso-fit-shape-to-text:t">
                    <w:txbxContent>
                      <w:p w14:paraId="4CA298C9" w14:textId="77777777" w:rsidR="00817C55" w:rsidRDefault="00817C55" w:rsidP="00817C55">
                        <w:pPr>
                          <w:pStyle w:val="NoSpacing"/>
                          <w:jc w:val="center"/>
                          <w:rPr>
                            <w14:ligatures w14:val="none"/>
                          </w:rPr>
                        </w:pPr>
                        <w:r>
                          <w:t>Computer vision</w:t>
                        </w:r>
                      </w:p>
                      <w:p w14:paraId="14CC320F" w14:textId="5955C9AA" w:rsidR="00817C55" w:rsidRDefault="00817C55" w:rsidP="00817C55">
                        <w:pPr>
                          <w:pStyle w:val="NoSpacing"/>
                          <w:jc w:val="center"/>
                        </w:pPr>
                        <w:r>
                          <w:t>(e.g.</w:t>
                        </w:r>
                        <w:r w:rsidR="00A35385">
                          <w:t>,</w:t>
                        </w:r>
                        <w:r>
                          <w:t xml:space="preserve"> image recognition)</w:t>
                        </w:r>
                      </w:p>
                    </w:txbxContent>
                  </v:textbox>
                </v:shape>
                <v:shape id="TextBox 23" o:spid="_x0000_s1040" type="#_x0000_t202" style="position:absolute;left:18962;top:23198;width:16319;height:60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" filled="f" stroked="f">
                  <v:textbox style="mso-fit-shape-to-text:t">
                    <w:txbxContent>
                      <w:p w14:paraId="78A93785" w14:textId="77777777" w:rsidR="00817C55" w:rsidRDefault="00817C55" w:rsidP="00817C55">
                        <w:pPr>
                          <w:pStyle w:val="NoSpacing"/>
                          <w:jc w:val="center"/>
                          <w:rPr>
                            <w:sz w:val="24"/>
                            <w:szCs w:val="24"/>
                            <w14:ligatures w14:val="none"/>
                          </w:rPr>
                        </w:pPr>
                        <w:r>
                          <w:t>Optimization</w:t>
                        </w:r>
                      </w:p>
                      <w:p w14:paraId="0EC3F3DD" w14:textId="792C06B2" w:rsidR="00817C55" w:rsidRDefault="00817C55" w:rsidP="00817C55">
                        <w:pPr>
                          <w:pStyle w:val="NoSpacing"/>
                          <w:jc w:val="center"/>
                        </w:pPr>
                        <w:r>
                          <w:t>(e.g.</w:t>
                        </w:r>
                        <w:r w:rsidR="00A35385">
                          <w:t>,</w:t>
                        </w:r>
                        <w:r>
                          <w:t xml:space="preserve"> demand-driven production)</w:t>
                        </w:r>
                      </w:p>
                    </w:txbxContent>
                  </v:textbox>
                </v:shape>
                <v:shape id="TextBox 24" o:spid="_x0000_s1041" type="#_x0000_t202" style="position:absolute;left:2285;top:23452;width:14789;height:4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" filled="f" stroked="f">
                  <v:textbox style="mso-fit-shape-to-text:t">
                    <w:txbxContent>
                      <w:p w14:paraId="0E6F1338" w14:textId="77777777" w:rsidR="00817C55" w:rsidRDefault="00817C55" w:rsidP="00817C55">
                        <w:pPr>
                          <w:pStyle w:val="NoSpacing"/>
                          <w:jc w:val="center"/>
                          <w:rPr>
                            <w14:ligatures w14:val="none"/>
                          </w:rPr>
                        </w:pPr>
                        <w:r>
                          <w:t>Recommender</w:t>
                        </w:r>
                      </w:p>
                      <w:p w14:paraId="56410C15" w14:textId="4B265B98" w:rsidR="00817C55" w:rsidRDefault="00817C55" w:rsidP="00817C55">
                        <w:pPr>
                          <w:pStyle w:val="NoSpacing"/>
                          <w:jc w:val="center"/>
                        </w:pPr>
                        <w:r>
                          <w:t>(e.g.</w:t>
                        </w:r>
                        <w:r w:rsidR="00A35385">
                          <w:t>,</w:t>
                        </w:r>
                        <w:r>
                          <w:t xml:space="preserve"> e-Commerce)</w:t>
                        </w:r>
                      </w:p>
                    </w:txbxContent>
                  </v:textbox>
                </v:shape>
                <w10:wrap type="topAndBottom"/>
              </v:group>
            </w:pict>
          </mc:Fallback>
        </mc:AlternateContent>
      </w:r>
      <w:r w:rsidR="00A35385">
        <w:rPr>
          <w:noProof/>
        </w:rPr>
        <mc:AlternateContent>
          <mc:Choice Requires="wps">
            <w:drawing>
              <wp:anchor distT="0" distB="0" distL="114300" distR="114300" simplePos="0" relativeHeight="251660288" behindDoc="0" locked="0" layoutInCell="1" allowOverlap="1" wp14:anchorId="1612163D" wp14:editId="31753FEA">
                <wp:simplePos x="0" y="0"/>
                <wp:positionH relativeFrom="column">
                  <wp:posOffset>465636</wp:posOffset>
                </wp:positionH>
                <wp:positionV relativeFrom="paragraph">
                  <wp:posOffset>1432158</wp:posOffset>
                </wp:positionV>
                <wp:extent cx="2376976" cy="2377027"/>
                <wp:effectExtent l="0" t="0" r="10795" b="10795"/>
                <wp:wrapTopAndBottom/>
                <wp:docPr id="1576504115" name="Oval 5">
                  <a:extLst xmlns:a="http://schemas.openxmlformats.org/drawingml/2006/main">
                    <a:ext uri="{FF2B5EF4-FFF2-40B4-BE49-F238E27FC236}">
                      <a16:creationId xmlns:a16="http://schemas.microsoft.com/office/drawing/2014/main" id="{668D3F9E-4478-706D-37BF-C2C86BB27D97}"/>
                    </a:ext>
                  </a:extLst>
                </wp:docPr>
                <wp:cNvGraphicFramePr/>
                <a:graphic xmlns:a="http://schemas.openxmlformats.org/drawingml/2006/main">
                  <a:graphicData uri="http://schemas.microsoft.com/office/word/2010/wordprocessingShape">
                    <wps:wsp>
                      <wps:cNvSpPr/>
                      <wps:spPr>
                        <a:xfrm>
                          <a:off x="0" y="0"/>
                          <a:ext cx="2376976" cy="2377027"/>
                        </a:xfrm>
                        <a:prstGeom prst="ellipse">
                          <a:avLst/>
                        </a:prstGeom>
                        <a:solidFill>
                          <a:srgbClr val="00B050">
                            <a:alpha val="49020"/>
                          </a:srgb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2516E2B8" id="Oval 5" o:spid="_x0000_s1026" style="position:absolute;margin-left:36.65pt;margin-top:112.75pt;width:187.15pt;height:187.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" fillcolor="#00b050" strokecolor="#09101d [484]" strokeweight="1pt">
                <v:fill opacity="32125f"/>
                <v:stroke joinstyle="miter"/>
                <w10:wrap type="topAndBottom"/>
              </v:oval>
            </w:pict>
          </mc:Fallback>
        </mc:AlternateContent>
      </w:r>
    </w:p>
    <w:p w14:paraId="6C47991F" w14:textId="77777777" w:rsidR="00A35385" w:rsidRDefault="00A35385" w:rsidP="00A35385">
      <w:pPr>
        <w:rPr>
          <w:color w:val="000000" w:themeColor="text1"/>
        </w:rPr>
      </w:pPr>
    </w:p>
    <w:p w14:paraId="6CBBB647" w14:textId="6233A708" w:rsidR="00137A37" w:rsidRPr="00137A37" w:rsidRDefault="00DD6928" w:rsidP="00137A37">
      <w:pPr>
        <w:rPr>
          <w:color w:val="000000" w:themeColor="text1"/>
        </w:rPr>
      </w:pPr>
      <w:r w:rsidRPr="00DD6928">
        <w:rPr>
          <w:color w:val="000000" w:themeColor="text1"/>
        </w:rPr>
        <w:lastRenderedPageBreak/>
        <w:t>AI, on the other hand, enhances traditional analytics by leveraging machine learning to automate and improve analysis. It is particularly effective at handling unstructured and complex data, such as image recognition, natural language processing, and recommendation systems—areas where traditional methods often struggle</w:t>
      </w:r>
      <w:r w:rsidR="00137A37" w:rsidRPr="00137A37">
        <w:rPr>
          <w:color w:val="000000" w:themeColor="text1"/>
        </w:rPr>
        <w:t>.</w:t>
      </w:r>
    </w:p>
    <w:p w14:paraId="2B753E97" w14:textId="77777777" w:rsidR="00DD6928" w:rsidRPr="00DD6928" w:rsidRDefault="00DD6928" w:rsidP="002D5715">
      <w:pPr>
        <w:rPr>
          <w:b/>
          <w:bCs/>
          <w:color w:val="000000" w:themeColor="text1"/>
        </w:rPr>
      </w:pPr>
      <w:r w:rsidRPr="00DD6928">
        <w:rPr>
          <w:b/>
          <w:bCs/>
          <w:color w:val="000000" w:themeColor="text1"/>
        </w:rPr>
        <w:t>Example: Ice Cream Company</w:t>
      </w:r>
    </w:p>
    <w:p w14:paraId="6B57F3BF" w14:textId="5446F30F" w:rsidR="002D5715" w:rsidRPr="002D5715" w:rsidRDefault="002D5715" w:rsidP="002D5715">
      <w:pPr>
        <w:rPr>
          <w:color w:val="000000" w:themeColor="text1"/>
        </w:rPr>
      </w:pPr>
      <w:r w:rsidRPr="002D5715">
        <w:rPr>
          <w:color w:val="000000" w:themeColor="text1"/>
        </w:rPr>
        <w:t xml:space="preserve">Traditional Data Analytics: </w:t>
      </w:r>
      <w:r w:rsidR="00DD6928" w:rsidRPr="00DD6928">
        <w:rPr>
          <w:color w:val="000000" w:themeColor="text1"/>
        </w:rPr>
        <w:t>The company collects historical sales data and identifies a strong correlation between ice cream sales and seasonal changes. This process, called seasonal analysis, applies statistical modeling to predict sales based on the time of year. The production team then uses optimization models to plan production based on these forecasts. While this approach is powerful, it has limitations. The model prioritizes primary factors like seasonality because analyzing more subtle patterns—such as the impact of local temperature and consumer preferences—would require significant analytical resources</w:t>
      </w:r>
      <w:r w:rsidR="007008DB">
        <w:rPr>
          <w:color w:val="000000" w:themeColor="text1"/>
        </w:rPr>
        <w:t>.</w:t>
      </w:r>
    </w:p>
    <w:p w14:paraId="15D1C288" w14:textId="1EDBB728" w:rsidR="00DD6928" w:rsidRPr="00DD6928" w:rsidRDefault="002D5715" w:rsidP="00DD6928">
      <w:pPr>
        <w:rPr>
          <w:color w:val="000000" w:themeColor="text1"/>
        </w:rPr>
      </w:pPr>
      <w:r w:rsidRPr="002D5715">
        <w:rPr>
          <w:color w:val="000000" w:themeColor="text1"/>
        </w:rPr>
        <w:t xml:space="preserve">AI Analytics: </w:t>
      </w:r>
      <w:r w:rsidR="00DD6928" w:rsidRPr="00DD6928">
        <w:rPr>
          <w:color w:val="000000" w:themeColor="text1"/>
        </w:rPr>
        <w:t>Recent technological advances enable AI models to move beyond seasonal trends. They incorporate irregular variables such as weather patterns, health considerations, social media sentiment, and local events. While these variables may not always directly correlate with sales, they can influence consumer behavior in ways traditional analytics might struggle to quantify. AI models can uncover complex relationships</w:t>
      </w:r>
      <w:r w:rsidR="00DD6928">
        <w:rPr>
          <w:color w:val="000000" w:themeColor="text1"/>
        </w:rPr>
        <w:t xml:space="preserve"> and make</w:t>
      </w:r>
      <w:r w:rsidR="00DD6928" w:rsidRPr="00DD6928">
        <w:rPr>
          <w:color w:val="000000" w:themeColor="text1"/>
        </w:rPr>
        <w:t xml:space="preserve"> more refined predictions. However, collecting and processing large volumes of data can be costly, and companies must have the agility to act on </w:t>
      </w:r>
      <w:r w:rsidR="00DD6928">
        <w:rPr>
          <w:color w:val="000000" w:themeColor="text1"/>
        </w:rPr>
        <w:t xml:space="preserve">the </w:t>
      </w:r>
      <w:r w:rsidR="00DD6928" w:rsidRPr="00DD6928">
        <w:rPr>
          <w:color w:val="000000" w:themeColor="text1"/>
        </w:rPr>
        <w:t>AI-</w:t>
      </w:r>
      <w:r w:rsidR="00DD6928">
        <w:rPr>
          <w:color w:val="000000" w:themeColor="text1"/>
        </w:rPr>
        <w:t>generated</w:t>
      </w:r>
      <w:r w:rsidR="00DD6928" w:rsidRPr="00DD6928">
        <w:rPr>
          <w:color w:val="000000" w:themeColor="text1"/>
        </w:rPr>
        <w:t xml:space="preserve"> insights.  </w:t>
      </w:r>
    </w:p>
    <w:p w14:paraId="6D189325" w14:textId="763521A1" w:rsidR="008B3870" w:rsidRPr="00A35385" w:rsidRDefault="00DD6928" w:rsidP="00DD6928">
      <w:pPr>
        <w:rPr>
          <w:color w:val="000000" w:themeColor="text1"/>
        </w:rPr>
      </w:pPr>
      <w:r w:rsidRPr="00DD6928">
        <w:rPr>
          <w:color w:val="000000" w:themeColor="text1"/>
        </w:rPr>
        <w:t xml:space="preserve">Each approach has its strengths—traditional methods provide structured insights, while AI adapts to complex and evolving factors. The </w:t>
      </w:r>
      <w:r w:rsidR="00447E0D">
        <w:rPr>
          <w:color w:val="000000" w:themeColor="text1"/>
        </w:rPr>
        <w:t>practical consideration</w:t>
      </w:r>
      <w:r w:rsidRPr="00DD6928">
        <w:rPr>
          <w:color w:val="000000" w:themeColor="text1"/>
        </w:rPr>
        <w:t xml:space="preserve"> for companies is to determine which </w:t>
      </w:r>
      <w:r w:rsidR="00447E0D">
        <w:rPr>
          <w:color w:val="000000" w:themeColor="text1"/>
        </w:rPr>
        <w:t xml:space="preserve">decision-support technology </w:t>
      </w:r>
      <w:r w:rsidRPr="00DD6928">
        <w:rPr>
          <w:color w:val="000000" w:themeColor="text1"/>
        </w:rPr>
        <w:t xml:space="preserve">they can effectively implement and maximize its value through </w:t>
      </w:r>
      <w:r w:rsidRPr="00447E0D">
        <w:rPr>
          <w:color w:val="000000" w:themeColor="text1"/>
        </w:rPr>
        <w:t>efficient operations.</w:t>
      </w:r>
    </w:p>
    <w:p w14:paraId="326BA079" w14:textId="601A9C8C" w:rsidR="00766C45" w:rsidRDefault="00766C45" w:rsidP="002D5715">
      <w:pPr>
        <w:pStyle w:val="Heading3"/>
      </w:pPr>
      <w:r>
        <w:t xml:space="preserve">Two </w:t>
      </w:r>
      <w:r w:rsidR="009D2AD4">
        <w:t>L</w:t>
      </w:r>
      <w:r>
        <w:t xml:space="preserve">evels of AI </w:t>
      </w:r>
      <w:r w:rsidR="009D2AD4">
        <w:t>S</w:t>
      </w:r>
      <w:r>
        <w:t>ystems</w:t>
      </w:r>
    </w:p>
    <w:p w14:paraId="17C8E463" w14:textId="057CEE8D" w:rsidR="00250BC5" w:rsidRPr="009D52F7" w:rsidRDefault="00250BC5" w:rsidP="00250BC5">
      <w:pPr>
        <w:rPr>
          <w:b/>
          <w:bCs/>
        </w:rPr>
      </w:pPr>
      <w:r w:rsidRPr="009D52F7">
        <w:rPr>
          <w:b/>
          <w:bCs/>
        </w:rPr>
        <w:t>Understanding AI: Current Reality and Future Trends</w:t>
      </w:r>
    </w:p>
    <w:p w14:paraId="14FBB733" w14:textId="6351F981" w:rsidR="002D5715" w:rsidRDefault="00AA2A3D" w:rsidP="00250BC5">
      <w:r w:rsidRPr="00AA2A3D">
        <w:lastRenderedPageBreak/>
        <w:t>AI is a hot topic today, often thought of as machines with human-like capabilities. However, the reality is more complex. The rapid advancement of AI technologies has created confusion about our current position and future direction. To provide clarity, it's essential to distinguish between two levels of AI: General AI and Specialized AI. Understanding these levels helps provide a clearer picture of AI’s present capabilities and its future trajectory</w:t>
      </w:r>
      <w:r w:rsidR="00250BC5">
        <w:t>.</w:t>
      </w:r>
      <w:r w:rsidR="002D5715">
        <w:t xml:space="preserve"> </w:t>
      </w:r>
    </w:p>
    <w:p w14:paraId="1DF83701" w14:textId="77777777" w:rsidR="009D52F7" w:rsidRPr="009D52F7" w:rsidRDefault="009D52F7" w:rsidP="009D52F7">
      <w:pPr>
        <w:rPr>
          <w:b/>
          <w:bCs/>
        </w:rPr>
      </w:pPr>
      <w:r w:rsidRPr="009D52F7">
        <w:rPr>
          <w:b/>
          <w:bCs/>
        </w:rPr>
        <w:t>General AI (Artificial General Intelligence or AGI)</w:t>
      </w:r>
    </w:p>
    <w:p w14:paraId="2B18906C" w14:textId="3127113F" w:rsidR="009D52F7" w:rsidRDefault="00AA2A3D" w:rsidP="009D52F7">
      <w:r w:rsidRPr="00AA2A3D">
        <w:t>General AI refers to machines that can understand, learn, and apply knowledge across a variety of tasks, similar to human intelligence. AGI has the ability to perform many different tasks without being specifically programmed for each one. However, General AI remains theoretical and is still a subject of research. There are no practical applications of AGI yet, as it represents the concept of machines capable of performing intellectual task</w:t>
      </w:r>
      <w:r>
        <w:t>s</w:t>
      </w:r>
      <w:r w:rsidRPr="00AA2A3D">
        <w:t xml:space="preserve"> a human can</w:t>
      </w:r>
      <w:r w:rsidR="009D52F7">
        <w:t>.</w:t>
      </w:r>
    </w:p>
    <w:p w14:paraId="686949DC" w14:textId="77777777" w:rsidR="009D52F7" w:rsidRPr="009D52F7" w:rsidRDefault="009D52F7" w:rsidP="009D52F7">
      <w:pPr>
        <w:rPr>
          <w:b/>
          <w:bCs/>
        </w:rPr>
      </w:pPr>
      <w:r w:rsidRPr="009D52F7">
        <w:rPr>
          <w:b/>
          <w:bCs/>
        </w:rPr>
        <w:t>Specialized AI (Narrow or Weak AI)</w:t>
      </w:r>
    </w:p>
    <w:p w14:paraId="79A58BFC" w14:textId="26DCEBEA" w:rsidR="009D52F7" w:rsidRDefault="00AA2A3D" w:rsidP="009D52F7">
      <w:r>
        <w:t>T</w:t>
      </w:r>
      <w:r w:rsidRPr="00AA2A3D">
        <w:t>he AI systems we use today fall under Specialized AI, also known as narrow or weak AI. These systems are designed to perform specific tasks, like image recognition, voice assistants, natural language processing, and recommendation systems. Specialized AI is highly effective in well-defined areas but lacks the versatility of General AI. It is already transforming industries by automating tasks and aiding decision-making</w:t>
      </w:r>
      <w:r w:rsidR="009D52F7">
        <w:t>.</w:t>
      </w:r>
    </w:p>
    <w:p w14:paraId="3F0AAD1D" w14:textId="591D0C0B" w:rsidR="002D5715" w:rsidRDefault="009D52F7" w:rsidP="009D52F7">
      <w:r>
        <w:t>I</w:t>
      </w:r>
      <w:r w:rsidRPr="009D52F7">
        <w:t xml:space="preserve">n </w:t>
      </w:r>
      <w:r w:rsidR="00AA2A3D">
        <w:t>short</w:t>
      </w:r>
      <w:r w:rsidRPr="009D52F7">
        <w:t xml:space="preserve">, while General AI currently represents a potential future where machines </w:t>
      </w:r>
      <w:r>
        <w:t xml:space="preserve">may perform </w:t>
      </w:r>
      <w:r w:rsidR="00AA2A3D">
        <w:t xml:space="preserve">a range of </w:t>
      </w:r>
      <w:r>
        <w:t>tasks,</w:t>
      </w:r>
      <w:r w:rsidRPr="009D52F7">
        <w:t xml:space="preserve"> Specialized AI is the practical application we see today</w:t>
      </w:r>
      <w:r>
        <w:t xml:space="preserve">. </w:t>
      </w:r>
    </w:p>
    <w:p w14:paraId="62890CD1" w14:textId="4F5BCEC2" w:rsidR="00766C45" w:rsidRDefault="00AA2A3D" w:rsidP="002D5715">
      <w:pPr>
        <w:pStyle w:val="Heading3"/>
      </w:pPr>
      <w:r>
        <w:lastRenderedPageBreak/>
        <w:t>Technology</w:t>
      </w:r>
      <w:r w:rsidR="00154C17">
        <w:t>-</w:t>
      </w:r>
      <w:r w:rsidR="00B009DB">
        <w:t>D</w:t>
      </w:r>
      <w:r w:rsidR="00154C17">
        <w:t>riven</w:t>
      </w:r>
      <w:r w:rsidR="00766C45">
        <w:t xml:space="preserve"> </w:t>
      </w:r>
      <w:r w:rsidR="00B009DB">
        <w:t>Systems</w:t>
      </w:r>
    </w:p>
    <w:p w14:paraId="40F2F06E" w14:textId="77777777" w:rsidR="0028263E" w:rsidRDefault="0028263E" w:rsidP="0028263E">
      <w:r>
        <w:t>Traditional data analytics tools and advanced AI models have greatly advanced evidence-based decision-making. However, they cannot replace human wisdom and judgment. Technology should be viewed as a tool to enhance human capabilities, optimizing processes and leveraging data effectively.</w:t>
      </w:r>
    </w:p>
    <w:p w14:paraId="22C6483D" w14:textId="5AC97597" w:rsidR="00AA2A3D" w:rsidRDefault="00C46CB5" w:rsidP="0028263E">
      <w:r w:rsidRPr="00C46CB5">
        <w:t>To better understand the role of technology in decision support, we will explore several key technologies, their practical applications, benefits, and potential challenges</w:t>
      </w:r>
      <w:r w:rsidR="0028263E">
        <w:t xml:space="preserve">. </w:t>
      </w:r>
    </w:p>
    <w:p w14:paraId="4A9B7020" w14:textId="432D0B42" w:rsidR="00A60E86" w:rsidRDefault="00766C45" w:rsidP="00A60E86">
      <w:pPr>
        <w:pStyle w:val="Heading4"/>
      </w:pPr>
      <w:r>
        <w:t xml:space="preserve">Natural Language Processing </w:t>
      </w:r>
    </w:p>
    <w:p w14:paraId="1D04C3A8" w14:textId="325FCECC" w:rsidR="0028263E" w:rsidRDefault="0028263E" w:rsidP="0028263E">
      <w:r>
        <w:t>Natural Language Processing (NLP) enables computers to understand, interpret, and generate human language. By bridging the gap between human communication and machine comprehension, NLP allows machines to process and analyze text data in ways that resemble human cognition.</w:t>
      </w:r>
    </w:p>
    <w:p w14:paraId="37026E60" w14:textId="760B72BA" w:rsidR="002D5715" w:rsidRDefault="0028263E" w:rsidP="0028263E">
      <w:r>
        <w:t xml:space="preserve">NLP powers conversational </w:t>
      </w:r>
      <w:r w:rsidR="00C46CB5">
        <w:t>programs</w:t>
      </w:r>
      <w:r>
        <w:t xml:space="preserve"> like ChatGPT and Gemini, </w:t>
      </w:r>
      <w:r w:rsidR="00C46CB5">
        <w:t>enabling them</w:t>
      </w:r>
      <w:r>
        <w:t xml:space="preserve"> to understand and respond to human prompts naturally. It supports decision-making in areas such as sentiment analysis, contract review, and customer feedback analysis.</w:t>
      </w:r>
      <w:r w:rsidR="00C46CB5">
        <w:t xml:space="preserve"> </w:t>
      </w:r>
      <w:r>
        <w:t>Marketing organizations use NLP to analyze consumer sentiment, categorize data, and manage cross-channel programs. NLP is also essential in generative AI tools, helping with tasks like answering queries, summarizing documents, and planning trips.</w:t>
      </w:r>
    </w:p>
    <w:p w14:paraId="0BA65895" w14:textId="375B1460" w:rsidR="002D5715" w:rsidRPr="002D5715" w:rsidRDefault="00B009DB" w:rsidP="002D5715">
      <w:pPr>
        <w:rPr>
          <w:b/>
          <w:bCs/>
        </w:rPr>
      </w:pPr>
      <w:r>
        <w:rPr>
          <w:b/>
          <w:bCs/>
        </w:rPr>
        <w:t>Example</w:t>
      </w:r>
      <w:r w:rsidR="002D5715" w:rsidRPr="002D5715">
        <w:rPr>
          <w:b/>
          <w:bCs/>
        </w:rPr>
        <w:t>: Airline Industry Customer Service Analysis</w:t>
      </w:r>
    </w:p>
    <w:p w14:paraId="2DDDA3F4" w14:textId="1F44DB7A" w:rsidR="0028263E" w:rsidRDefault="0028263E" w:rsidP="0028263E">
      <w:r>
        <w:t>The airline industry faces challenges in managing customer satisfaction</w:t>
      </w:r>
      <w:r w:rsidR="00C46CB5">
        <w:t xml:space="preserve"> due to the large volume</w:t>
      </w:r>
      <w:r>
        <w:t xml:space="preserve"> of customer feedback collected from surveys, social media, and emails</w:t>
      </w:r>
      <w:r w:rsidR="00C46CB5">
        <w:t>. A</w:t>
      </w:r>
      <w:r>
        <w:t>nalyzing this data manually is time-consuming and inefficient.</w:t>
      </w:r>
    </w:p>
    <w:p w14:paraId="25320DBF" w14:textId="15F5FF50" w:rsidR="002D5715" w:rsidRDefault="00C46CB5" w:rsidP="0028263E">
      <w:r w:rsidRPr="00C46CB5">
        <w:t xml:space="preserve">Airlines such as Delta, United, and American Airlines use NLP to improve customer experience. NLP-powered sentiment analysis processes feedback from various channels, enabling airlines to identify issues like baggage handling or flight delays. These insights help inform decisions on resource allocation </w:t>
      </w:r>
      <w:r w:rsidRPr="00C46CB5">
        <w:lastRenderedPageBreak/>
        <w:t>and operational improvements, driving better customer satisfaction. For example, if sentiment about baggage handling declines, airlines can invest in additional staff or improve tracking systems</w:t>
      </w:r>
      <w:r w:rsidR="0028263E">
        <w:t>.</w:t>
      </w:r>
    </w:p>
    <w:p w14:paraId="36D211AA" w14:textId="145F4918" w:rsidR="00766C45" w:rsidRDefault="00766C45" w:rsidP="009C300F">
      <w:pPr>
        <w:pStyle w:val="Heading4"/>
      </w:pPr>
      <w:r>
        <w:t xml:space="preserve">Computer </w:t>
      </w:r>
      <w:r w:rsidR="002D5715">
        <w:t>V</w:t>
      </w:r>
      <w:r>
        <w:t xml:space="preserve">ision </w:t>
      </w:r>
      <w:r w:rsidR="002D5715">
        <w:t>A</w:t>
      </w:r>
      <w:r>
        <w:t xml:space="preserve">pplications </w:t>
      </w:r>
    </w:p>
    <w:p w14:paraId="6E5B34CE" w14:textId="3E370446" w:rsidR="002D5715" w:rsidRDefault="004C29A6" w:rsidP="0028263E">
      <w:r w:rsidRPr="004C29A6">
        <w:t>Computer vision allows machines to see and interpret visual data, enabling them to understand and respond to the physical world in ways that were once possible only for humans</w:t>
      </w:r>
      <w:r w:rsidR="0028263E">
        <w:t xml:space="preserve">. It involves tasks such as image acquisition, preprocessing, feature extraction, and interpretation. Computer vision </w:t>
      </w:r>
      <w:r w:rsidRPr="004C29A6">
        <w:t>capability is changing how tasks are performed in industries such as healthcare, retail, and agriculture</w:t>
      </w:r>
      <w:r w:rsidR="0028263E">
        <w:t>:</w:t>
      </w:r>
    </w:p>
    <w:p w14:paraId="2E8D589D" w14:textId="77777777" w:rsidR="0028263E" w:rsidRDefault="0028263E" w:rsidP="00D81274">
      <w:pPr>
        <w:pStyle w:val="ListParagraph"/>
        <w:numPr>
          <w:ilvl w:val="0"/>
          <w:numId w:val="45"/>
        </w:numPr>
      </w:pPr>
      <w:r>
        <w:t>Healthcare: Medical imaging analysis helps diagnose diseases by analyzing X-rays, MRIs, and CT scans.</w:t>
      </w:r>
    </w:p>
    <w:p w14:paraId="7F8D4B89" w14:textId="77777777" w:rsidR="0028263E" w:rsidRDefault="0028263E" w:rsidP="00D81274">
      <w:pPr>
        <w:pStyle w:val="ListParagraph"/>
        <w:numPr>
          <w:ilvl w:val="0"/>
          <w:numId w:val="45"/>
        </w:numPr>
      </w:pPr>
      <w:r>
        <w:t>Operations: Computer vision inspects products, monitors production lines, and enhances efficiency and quality control.</w:t>
      </w:r>
    </w:p>
    <w:p w14:paraId="6A97B211" w14:textId="77777777" w:rsidR="0028263E" w:rsidRDefault="0028263E" w:rsidP="00D81274">
      <w:pPr>
        <w:pStyle w:val="ListParagraph"/>
        <w:numPr>
          <w:ilvl w:val="0"/>
          <w:numId w:val="45"/>
        </w:numPr>
      </w:pPr>
      <w:r>
        <w:t>Agriculture: Farmers use computer vision to assess crop health, detect diseases, and optimize resource allocation. Drones and cameras capture images that are analyzed for issues like pests or nutrient deficiencies.</w:t>
      </w:r>
    </w:p>
    <w:p w14:paraId="6FA30DCF" w14:textId="77777777" w:rsidR="004C29A6" w:rsidRDefault="004C29A6" w:rsidP="002D5715">
      <w:r w:rsidRPr="004C29A6">
        <w:t>Despite its potential, computer vision raises ethical concerns, such as privacy and bias, requiring responsible development and deployment</w:t>
      </w:r>
      <w:r>
        <w:t>.</w:t>
      </w:r>
    </w:p>
    <w:p w14:paraId="68229719" w14:textId="50C6A489" w:rsidR="002D5715" w:rsidRPr="004C29A6" w:rsidRDefault="00B009DB" w:rsidP="002D5715">
      <w:r>
        <w:rPr>
          <w:b/>
          <w:bCs/>
        </w:rPr>
        <w:t>Example</w:t>
      </w:r>
      <w:r w:rsidR="002D5715" w:rsidRPr="002D5715">
        <w:rPr>
          <w:b/>
          <w:bCs/>
        </w:rPr>
        <w:t>: Retail Inventory Management and Optimization</w:t>
      </w:r>
    </w:p>
    <w:p w14:paraId="6E3DC2FA" w14:textId="64B6DCA7" w:rsidR="000B5374" w:rsidRPr="002D5715" w:rsidRDefault="004C29A6" w:rsidP="000B5374">
      <w:r w:rsidRPr="004C29A6">
        <w:t>Retailers face challenges in maintaining accurate inventory levels, which can lead to stockouts or overstocking, affecting profitability. Major retailers like Walmart, Amazon, and Kroger use computer vision to track inventory in real-time. This system processes image data to count products, identify out-of-stock items, and manage product placement. It automatically generates replenishment orders, ensuring optimal stock levels and preventing shortages</w:t>
      </w:r>
      <w:r w:rsidR="002D5715">
        <w:t xml:space="preserve">.  </w:t>
      </w:r>
      <w:r w:rsidR="000B5374" w:rsidRPr="004B2930">
        <w:rPr>
          <w:color w:val="4472C4" w:themeColor="accent1"/>
        </w:rPr>
        <w:t xml:space="preserve">  </w:t>
      </w:r>
    </w:p>
    <w:p w14:paraId="5D8E1A9E" w14:textId="248ADB9F" w:rsidR="00766C45" w:rsidRDefault="00766C45" w:rsidP="00766C45">
      <w:pPr>
        <w:pStyle w:val="Heading4"/>
      </w:pPr>
      <w:r>
        <w:lastRenderedPageBreak/>
        <w:t xml:space="preserve">Predictive </w:t>
      </w:r>
      <w:r w:rsidR="002D5715">
        <w:t>A</w:t>
      </w:r>
      <w:r>
        <w:t>nalytics</w:t>
      </w:r>
    </w:p>
    <w:p w14:paraId="2D53BDDF" w14:textId="6E097369" w:rsidR="0028263E" w:rsidRDefault="002C66B3" w:rsidP="004C29A6">
      <w:r>
        <w:t xml:space="preserve">Predictive analytics </w:t>
      </w:r>
      <w:r w:rsidR="00A74604" w:rsidRPr="00A74604">
        <w:t xml:space="preserve">helps decision-makers anticipate future trends and make informed choices. It plays a key role in areas like sales forecasting and demand planning, where historical data serves as the foundation for analysis. </w:t>
      </w:r>
      <w:r w:rsidR="00A74604">
        <w:t>To achieve this, a</w:t>
      </w:r>
      <w:r w:rsidR="00A74604" w:rsidRPr="00A74604">
        <w:t>nalysts build numeric models to identify patterns and trends</w:t>
      </w:r>
      <w:r w:rsidR="00A74604">
        <w:t>,</w:t>
      </w:r>
      <w:r w:rsidR="00A74604" w:rsidRPr="00A74604">
        <w:t xml:space="preserve"> </w:t>
      </w:r>
      <w:r w:rsidR="00A74604">
        <w:t>using</w:t>
      </w:r>
      <w:r w:rsidR="00A74604" w:rsidRPr="00A74604">
        <w:t xml:space="preserve"> traditional statistical techniques and AI-driven approaches. </w:t>
      </w:r>
      <w:r w:rsidR="005D50C3">
        <w:t>S</w:t>
      </w:r>
      <w:r w:rsidR="00A74604" w:rsidRPr="00A74604">
        <w:t>tatistical methods remain effective for many applications</w:t>
      </w:r>
      <w:r w:rsidR="005D50C3">
        <w:t xml:space="preserve"> but</w:t>
      </w:r>
      <w:r w:rsidR="00A74604" w:rsidRPr="00A74604">
        <w:t xml:space="preserve"> </w:t>
      </w:r>
      <w:r w:rsidR="005D50C3">
        <w:t>have</w:t>
      </w:r>
      <w:r w:rsidR="00A74604" w:rsidRPr="00A74604">
        <w:t xml:space="preserve"> limitations in processing large datasets and detecting subtle relationships. AI models complement these methods by expanding predictive capabilities</w:t>
      </w:r>
      <w:r w:rsidR="0028263E">
        <w:t>.</w:t>
      </w:r>
    </w:p>
    <w:p w14:paraId="00A7D641" w14:textId="77777777" w:rsidR="0028263E" w:rsidRPr="0028263E" w:rsidRDefault="0028263E" w:rsidP="0028263E">
      <w:pPr>
        <w:rPr>
          <w:b/>
          <w:bCs/>
        </w:rPr>
      </w:pPr>
      <w:r w:rsidRPr="0028263E">
        <w:rPr>
          <w:b/>
          <w:bCs/>
        </w:rPr>
        <w:t>Example: Predictive Maintenance</w:t>
      </w:r>
    </w:p>
    <w:p w14:paraId="5B49F37B" w14:textId="30696DF8" w:rsidR="0028263E" w:rsidRDefault="00A74604" w:rsidP="0028263E">
      <w:r w:rsidRPr="00A74604">
        <w:t xml:space="preserve">Predictive maintenance applies data analytics to forecast equipment failures. </w:t>
      </w:r>
      <w:r w:rsidR="001D5E37">
        <w:t>Statistical</w:t>
      </w:r>
      <w:r w:rsidR="001D5E37" w:rsidRPr="00A74604">
        <w:t xml:space="preserve"> models </w:t>
      </w:r>
      <w:r w:rsidR="001D5E37">
        <w:t>process s</w:t>
      </w:r>
      <w:r w:rsidRPr="00A74604">
        <w:t xml:space="preserve">ensor data from machinery </w:t>
      </w:r>
      <w:r w:rsidR="001D5E37">
        <w:t xml:space="preserve">to identify </w:t>
      </w:r>
      <w:r w:rsidRPr="00A74604">
        <w:t>performance trends</w:t>
      </w:r>
      <w:r w:rsidR="001D5E37">
        <w:t xml:space="preserve"> and </w:t>
      </w:r>
      <w:r>
        <w:t>estimate</w:t>
      </w:r>
      <w:r w:rsidRPr="00A74604">
        <w:t xml:space="preserve"> failure likel</w:t>
      </w:r>
      <w:r w:rsidR="001D5E37">
        <w:t>ihood</w:t>
      </w:r>
      <w:r w:rsidRPr="00A74604">
        <w:t xml:space="preserve">. For instance, a pipeline maintenance system can </w:t>
      </w:r>
      <w:r w:rsidR="001D5E37">
        <w:t xml:space="preserve">analyze </w:t>
      </w:r>
      <w:r w:rsidRPr="00A74604">
        <w:t>historical breakdown</w:t>
      </w:r>
      <w:r w:rsidR="001D5E37">
        <w:t>s</w:t>
      </w:r>
      <w:r w:rsidRPr="00A74604">
        <w:t xml:space="preserve"> and real-time metrics to schedule repairs in advance</w:t>
      </w:r>
      <w:r w:rsidR="005D50C3">
        <w:t xml:space="preserve">. </w:t>
      </w:r>
      <w:r w:rsidR="005D50C3" w:rsidRPr="005D50C3">
        <w:t>These systems aim to minimize downtime and reduce costs</w:t>
      </w:r>
      <w:r w:rsidR="0028263E">
        <w:t>.</w:t>
      </w:r>
    </w:p>
    <w:p w14:paraId="3F0E8C73" w14:textId="77777777" w:rsidR="0028263E" w:rsidRPr="0028263E" w:rsidRDefault="0028263E" w:rsidP="0028263E">
      <w:pPr>
        <w:rPr>
          <w:b/>
          <w:bCs/>
        </w:rPr>
      </w:pPr>
      <w:r w:rsidRPr="0028263E">
        <w:rPr>
          <w:b/>
          <w:bCs/>
        </w:rPr>
        <w:t>Example: Employee Attrition Prediction</w:t>
      </w:r>
    </w:p>
    <w:p w14:paraId="154A6940" w14:textId="554C2EB5" w:rsidR="00A74604" w:rsidRDefault="00A74604" w:rsidP="0028263E">
      <w:r w:rsidRPr="00A74604">
        <w:t xml:space="preserve">Recent AI models assess employee data to estimate turnover risks, giving companies an opportunity to </w:t>
      </w:r>
      <w:r>
        <w:t>take proactive action</w:t>
      </w:r>
      <w:r w:rsidRPr="00A74604">
        <w:t xml:space="preserve"> before employees leave. By evaluating factors such as engagement surveys and job satisfaction, businesses can create retention strategies and reduce attrition. However, ethical concerns—including privacy and bias—complicate the implementation of such models</w:t>
      </w:r>
      <w:r>
        <w:t>.</w:t>
      </w:r>
    </w:p>
    <w:p w14:paraId="7DE2773A" w14:textId="6577AC7A" w:rsidR="003D6CCF" w:rsidRDefault="00A74604" w:rsidP="0028263E">
      <w:r w:rsidRPr="00A74604">
        <w:t>Both traditional statistical tools and AI-driven approaches contribute to decision support. Statistical methods, such as regression analysis and time-series forecasting, continue to offer clear and interpretable insights. Meanwhile, AI models enhance predictive analytics by processing larger datasets and uncovering more complex patterns, making them valuable additions</w:t>
      </w:r>
      <w:r w:rsidR="003D6CCF">
        <w:t xml:space="preserve">. </w:t>
      </w:r>
    </w:p>
    <w:p w14:paraId="3704E4D7" w14:textId="3B642EB9" w:rsidR="00766C45" w:rsidRDefault="00BF06C4" w:rsidP="00766C45">
      <w:pPr>
        <w:pStyle w:val="Heading4"/>
      </w:pPr>
      <w:r>
        <w:lastRenderedPageBreak/>
        <w:t>Optimizers</w:t>
      </w:r>
    </w:p>
    <w:p w14:paraId="3D11A61E" w14:textId="067B7AF0" w:rsidR="00B21D43" w:rsidRDefault="0016277A" w:rsidP="0028263E">
      <w:r w:rsidRPr="0016277A">
        <w:t xml:space="preserve">Optimization algorithms help decision-makers allocate resources efficiently, improve operations, and enhance planning in complex systems. Linear programming, a subset of optimization, is a mathematical method for </w:t>
      </w:r>
      <w:r w:rsidR="00124D86">
        <w:t>finding</w:t>
      </w:r>
      <w:r w:rsidRPr="0016277A">
        <w:t xml:space="preserve"> the optimal solution by maximizing or minimizing a linear objective function subject to constraints. It assumes that relationships between variables remain constant and that total effects are the sum of individual effects. This approach is widely applied in industries where resource allocation is critical. In manufacturing, it optimizes production plans based on capacity and demand. In logistics, it reduces transportation costs while ensuring timely deliveries. In finance, it balances risk and return in portfolio management.</w:t>
      </w:r>
    </w:p>
    <w:p w14:paraId="4159E8D2" w14:textId="77777777" w:rsidR="0028263E" w:rsidRPr="0028263E" w:rsidRDefault="0028263E" w:rsidP="0028263E">
      <w:pPr>
        <w:rPr>
          <w:b/>
          <w:bCs/>
        </w:rPr>
      </w:pPr>
      <w:r w:rsidRPr="0028263E">
        <w:rPr>
          <w:b/>
          <w:bCs/>
        </w:rPr>
        <w:t>Example: Production Planning Optimization</w:t>
      </w:r>
    </w:p>
    <w:p w14:paraId="555F1F5C" w14:textId="2DEC47E1" w:rsidR="0028263E" w:rsidRDefault="00951555" w:rsidP="0028263E">
      <w:r w:rsidRPr="00951555">
        <w:t>Manufacturers must balance production with fluctuating demand while controlling costs. They use linear programming models to optimize production plans by factoring in labor, materials, and capacity. Companies like Toyota and Procter &amp; Gamble apply these techniques to manage production efficiently across multiple product lines</w:t>
      </w:r>
      <w:r w:rsidR="0028263E">
        <w:t>.</w:t>
      </w:r>
    </w:p>
    <w:p w14:paraId="3D42E7FC" w14:textId="77777777" w:rsidR="0028263E" w:rsidRPr="0028263E" w:rsidRDefault="0028263E" w:rsidP="0028263E">
      <w:pPr>
        <w:rPr>
          <w:b/>
          <w:bCs/>
        </w:rPr>
      </w:pPr>
      <w:r w:rsidRPr="0028263E">
        <w:rPr>
          <w:b/>
          <w:bCs/>
        </w:rPr>
        <w:t>Example: AI-Driven Route Optimization</w:t>
      </w:r>
    </w:p>
    <w:p w14:paraId="4536601E" w14:textId="5BCCEC66" w:rsidR="003552D0" w:rsidRDefault="00DC37C2" w:rsidP="003552D0">
      <w:r w:rsidRPr="00DC37C2">
        <w:t>Beyond traditional optimization, AI-driven techniques enhance real-time decision-making in supply chain management. Companies like UPS, FedEx, and Amazon use AI algorithms to adjust delivery routes based on traffic conditions and customer demand. This improves efficiency, reduces costs, and minimizes fuel consumption while ensuring timely deliveries</w:t>
      </w:r>
      <w:r w:rsidR="003552D0">
        <w:t>.</w:t>
      </w:r>
    </w:p>
    <w:p w14:paraId="4D580BB8" w14:textId="2323FB1D" w:rsidR="00124D86" w:rsidRDefault="00124D86" w:rsidP="003552D0">
      <w:r w:rsidRPr="00124D86">
        <w:t>Optimization m</w:t>
      </w:r>
      <w:r w:rsidR="004A110F">
        <w:t>ethods</w:t>
      </w:r>
      <w:r w:rsidRPr="00124D86">
        <w:t>, from linear programming to AI-driven techniques, help businesses make data-driven decisions</w:t>
      </w:r>
      <w:r>
        <w:t xml:space="preserve"> </w:t>
      </w:r>
      <w:r w:rsidR="004A110F">
        <w:t>that</w:t>
      </w:r>
      <w:r>
        <w:t xml:space="preserve"> </w:t>
      </w:r>
      <w:r w:rsidRPr="00124D86">
        <w:t>improve efficiency and reduce costs</w:t>
      </w:r>
      <w:r>
        <w:t xml:space="preserve">. These </w:t>
      </w:r>
      <w:r w:rsidR="004A110F">
        <w:t>models</w:t>
      </w:r>
      <w:r>
        <w:t xml:space="preserve"> </w:t>
      </w:r>
      <w:r w:rsidRPr="00124D86">
        <w:t>enabl</w:t>
      </w:r>
      <w:r>
        <w:t>e</w:t>
      </w:r>
      <w:r w:rsidRPr="00124D86">
        <w:t xml:space="preserve"> companies to respond effectively to shifts in demand, supply, and other market factors.</w:t>
      </w:r>
    </w:p>
    <w:p w14:paraId="58BF0BD0" w14:textId="2DB4D10C" w:rsidR="00314586" w:rsidRPr="00314586" w:rsidRDefault="00314586" w:rsidP="00314586">
      <w:pPr>
        <w:pStyle w:val="Heading3"/>
      </w:pPr>
      <w:r w:rsidRPr="00314586">
        <w:lastRenderedPageBreak/>
        <w:t xml:space="preserve">Challenges of </w:t>
      </w:r>
      <w:r w:rsidR="003552D0">
        <w:t>D</w:t>
      </w:r>
      <w:r w:rsidRPr="00314586">
        <w:t xml:space="preserve">ata </w:t>
      </w:r>
      <w:r w:rsidR="003552D0">
        <w:t>A</w:t>
      </w:r>
      <w:r w:rsidRPr="00314586">
        <w:t xml:space="preserve">nalytics in </w:t>
      </w:r>
      <w:r w:rsidR="003552D0">
        <w:t>D</w:t>
      </w:r>
      <w:r w:rsidRPr="00314586">
        <w:t>ecision</w:t>
      </w:r>
      <w:r w:rsidR="003552D0">
        <w:t>-</w:t>
      </w:r>
      <w:r w:rsidR="003B59D8">
        <w:t>M</w:t>
      </w:r>
      <w:r w:rsidRPr="00314586">
        <w:t>aking</w:t>
      </w:r>
    </w:p>
    <w:p w14:paraId="343519FB" w14:textId="00A345CA" w:rsidR="00314586" w:rsidRPr="00314586" w:rsidRDefault="004A110F" w:rsidP="00314586">
      <w:r>
        <w:t>I</w:t>
      </w:r>
      <w:r w:rsidRPr="004A110F">
        <w:t>ncorporating data analytics tools into the decision-making process is transforming the field of data science. While these technologies offer immense potential and continue to develop, they face significant challenges in real-world applications</w:t>
      </w:r>
      <w:r w:rsidR="00521771" w:rsidRPr="00521771">
        <w:t xml:space="preserve">. </w:t>
      </w:r>
    </w:p>
    <w:p w14:paraId="74328FD7" w14:textId="691E4143" w:rsidR="00314586" w:rsidRPr="00314586" w:rsidRDefault="00314586" w:rsidP="00314586">
      <w:pPr>
        <w:pStyle w:val="Heading4"/>
        <w:rPr>
          <w:i/>
        </w:rPr>
      </w:pPr>
      <w:r w:rsidRPr="00314586">
        <w:rPr>
          <w:i/>
        </w:rPr>
        <w:t xml:space="preserve">Data </w:t>
      </w:r>
      <w:r w:rsidR="003552D0">
        <w:rPr>
          <w:i/>
        </w:rPr>
        <w:t>Q</w:t>
      </w:r>
      <w:r w:rsidRPr="00314586">
        <w:rPr>
          <w:i/>
        </w:rPr>
        <w:t xml:space="preserve">uality and </w:t>
      </w:r>
      <w:r w:rsidR="003552D0">
        <w:rPr>
          <w:i/>
        </w:rPr>
        <w:t>Q</w:t>
      </w:r>
      <w:r w:rsidRPr="00314586">
        <w:rPr>
          <w:i/>
        </w:rPr>
        <w:t>uantity</w:t>
      </w:r>
    </w:p>
    <w:p w14:paraId="2A247391" w14:textId="1FB8EBD4" w:rsidR="00D5081D" w:rsidRDefault="00D5081D" w:rsidP="00D5081D">
      <w:r>
        <w:t xml:space="preserve">The quality and quantity of data play a crucial role in the performance of data-driven systems. Good data should be accurate, complete, reliable, and sufficient for developing effective data analytics models. As the saying goes, "garbage in, garbage out"—if the data used to train models is flawed, the results will be unreliable. Biased or incomplete data can lead to incorrect predictions, reinforcing existing biases. </w:t>
      </w:r>
      <w:r w:rsidRPr="00D5081D">
        <w:t>Additionally, outdated data can limit an analytical decision-making system's ability to respond to shifts in market conditions, consumer behavior, or other dynamic factors</w:t>
      </w:r>
      <w:r>
        <w:t>.</w:t>
      </w:r>
    </w:p>
    <w:p w14:paraId="6372FC8A" w14:textId="594192A3" w:rsidR="00D5081D" w:rsidRDefault="00D5081D" w:rsidP="00D5081D">
      <w:r>
        <w:t>Ensuring high-quality data requires significant resources. A survey by Wakefield Research found that data professionals spend approximately 40% of their time verifying data quality (published on Techtarget.com, 26 Oct 2022). This substantial investment underscores the critical role that accurate, complete, and reliable data plays in the success of data analytics initiatives.</w:t>
      </w:r>
    </w:p>
    <w:p w14:paraId="5B1C4E73" w14:textId="6D748038" w:rsidR="004A110F" w:rsidRDefault="00D5081D" w:rsidP="00D5081D">
      <w:r>
        <w:t xml:space="preserve">For example, a global manufacturing company developed a "smart system" to predict when machines need maintenance. This system relies on data from sensors on newer machines, while older machines lack these sensors and use manual readings, which may not be complete or accurate. This mix of data can hinder the system's </w:t>
      </w:r>
      <w:r w:rsidRPr="00D5081D">
        <w:rPr>
          <w:color w:val="000000" w:themeColor="text1"/>
        </w:rPr>
        <w:t>predictive capabilities.</w:t>
      </w:r>
      <w:r w:rsidR="004A110F" w:rsidRPr="00D5081D">
        <w:rPr>
          <w:color w:val="000000" w:themeColor="text1"/>
        </w:rPr>
        <w:t xml:space="preserve"> </w:t>
      </w:r>
    </w:p>
    <w:p w14:paraId="66294403" w14:textId="08DF8F8C" w:rsidR="00B07AA0" w:rsidRPr="00B07AA0" w:rsidRDefault="00314586" w:rsidP="00B07AA0">
      <w:pPr>
        <w:pStyle w:val="Heading4"/>
        <w:rPr>
          <w:i/>
        </w:rPr>
      </w:pPr>
      <w:r w:rsidRPr="00314586">
        <w:rPr>
          <w:i/>
        </w:rPr>
        <w:t>Transparency and</w:t>
      </w:r>
      <w:r w:rsidR="003552D0">
        <w:rPr>
          <w:i/>
        </w:rPr>
        <w:t xml:space="preserve"> E</w:t>
      </w:r>
      <w:r w:rsidRPr="00314586">
        <w:rPr>
          <w:i/>
        </w:rPr>
        <w:t>xplainability</w:t>
      </w:r>
    </w:p>
    <w:p w14:paraId="01E5F319" w14:textId="7E0AF83A" w:rsidR="00D5081D" w:rsidRDefault="00D5081D" w:rsidP="00D5081D">
      <w:r>
        <w:t xml:space="preserve">In today's world, analytical decision-making systems are becoming more sophisticated. As these systems evolve, it is crucial that users understand how decisions are made. Ensuring transparency and </w:t>
      </w:r>
      <w:r>
        <w:lastRenderedPageBreak/>
        <w:t xml:space="preserve">explainability of data models is key for building trust and promoting accountability. Transparency involves making the decision-making process of </w:t>
      </w:r>
      <w:r w:rsidR="00883FA2">
        <w:t>technology</w:t>
      </w:r>
      <w:r>
        <w:t>-driven systems clear and understandable, particularly in critical fields such as healthcare and finance, where decisions can significantly impact people's lives.</w:t>
      </w:r>
    </w:p>
    <w:p w14:paraId="30BBA311" w14:textId="27B2C3D8" w:rsidR="00314586" w:rsidRPr="00883FA2" w:rsidRDefault="00D5081D" w:rsidP="00D5081D">
      <w:r>
        <w:t>For instance, hospitals may use data analytics to assist doctors in selecting the best treatment for patients. If the system’s recommendations are transparent and doctors understand the rationale behind them, it is easier to trust and implement the technology. By ensuring that algorithm-generated decisions are accessible and explainable, healthcare professionals can have more confidence in the recommendations. This fosters trust in the technology and can lead to better patient outcomes</w:t>
      </w:r>
      <w:r w:rsidR="00883FA2">
        <w:t>.</w:t>
      </w:r>
    </w:p>
    <w:p w14:paraId="6F45F110" w14:textId="40B1FE79" w:rsidR="00B07AA0" w:rsidRPr="00B07AA0" w:rsidRDefault="00314586" w:rsidP="00B07AA0">
      <w:pPr>
        <w:pStyle w:val="Heading4"/>
        <w:rPr>
          <w:i/>
        </w:rPr>
      </w:pPr>
      <w:r w:rsidRPr="00314586">
        <w:rPr>
          <w:i/>
        </w:rPr>
        <w:t xml:space="preserve">Overreliance on </w:t>
      </w:r>
      <w:r w:rsidR="003552D0">
        <w:rPr>
          <w:i/>
        </w:rPr>
        <w:t>D</w:t>
      </w:r>
      <w:r w:rsidRPr="00314586">
        <w:rPr>
          <w:i/>
        </w:rPr>
        <w:t xml:space="preserve">ata </w:t>
      </w:r>
      <w:r w:rsidR="003552D0">
        <w:rPr>
          <w:i/>
        </w:rPr>
        <w:t>A</w:t>
      </w:r>
      <w:r w:rsidRPr="00314586">
        <w:rPr>
          <w:i/>
        </w:rPr>
        <w:t xml:space="preserve">nalytics </w:t>
      </w:r>
    </w:p>
    <w:p w14:paraId="42FFCDD7" w14:textId="43EE6CCB" w:rsidR="00883FA2" w:rsidRDefault="00883FA2" w:rsidP="00883FA2">
      <w:r>
        <w:t>Over-reliance on technology-driven decisions, without factoring in human input, can lead to failures. Data analytics systems may struggle to understand emotional context or subjective details that a human can easily recognize. It's like having a computer choose a restaurant for someone, without understanding their personal preferences—resulting in a choice that may satisfy their true desires. Therefore, it is important to strike a balance between leveraging data analytics and incorporating human judgment.</w:t>
      </w:r>
    </w:p>
    <w:p w14:paraId="68F2BC3E" w14:textId="6A888A31" w:rsidR="00314586" w:rsidRPr="005E02CF" w:rsidRDefault="00883FA2" w:rsidP="00883FA2">
      <w:pPr>
        <w:rPr>
          <w:color w:val="000000" w:themeColor="text1"/>
        </w:rPr>
      </w:pPr>
      <w:r>
        <w:t>For instance, in customer service, if companies rely solely on natural language processing (NLP) chatbots to assist customers, the chatbot may misinterpret a customer's concerns or fail to provide the empathy that a human agent could offer. A balanced approach—using computers for routine queries and human agents for more complex or emotionally sensitive interactions—ensures a better customer experience. The key is for data analytics and humans to complement each other, recognizing each other's strengths and creating systems that enable seamless collaboration.</w:t>
      </w:r>
    </w:p>
    <w:p w14:paraId="3D2DCAF3" w14:textId="63334CA5" w:rsidR="00314586" w:rsidRPr="00593A27" w:rsidRDefault="003552D0" w:rsidP="00314586">
      <w:pPr>
        <w:pStyle w:val="Heading4"/>
        <w:rPr>
          <w:iCs w:val="0"/>
        </w:rPr>
      </w:pPr>
      <w:r>
        <w:rPr>
          <w:iCs w:val="0"/>
        </w:rPr>
        <w:lastRenderedPageBreak/>
        <w:t>E</w:t>
      </w:r>
      <w:r w:rsidR="00314586" w:rsidRPr="00593A27">
        <w:rPr>
          <w:iCs w:val="0"/>
        </w:rPr>
        <w:t>thic</w:t>
      </w:r>
      <w:r w:rsidR="006C27C2">
        <w:rPr>
          <w:iCs w:val="0"/>
        </w:rPr>
        <w:t xml:space="preserve">al </w:t>
      </w:r>
      <w:r w:rsidR="00B009DB">
        <w:rPr>
          <w:iCs w:val="0"/>
        </w:rPr>
        <w:t>Issues</w:t>
      </w:r>
    </w:p>
    <w:p w14:paraId="03D7261D" w14:textId="6A9D7393" w:rsidR="00883FA2" w:rsidRDefault="00883FA2" w:rsidP="00883FA2">
      <w:r>
        <w:t>In the rapidly evolving digital landscape, ensuring that data-driven systems make ethical decisions is more important than ever. Consider a voice assistant that might record private conversations without consent—that could create significant ethical concerns. Establishing clear guidelines and rules for data systems, particularly AI, is necessary. These principles ensure that algorithms respect privacy, obtain permission before collecting data, and consider the broader societal impact of their actions.</w:t>
      </w:r>
    </w:p>
    <w:p w14:paraId="55AF4667" w14:textId="27CA8809" w:rsidR="00314586" w:rsidRPr="00314586" w:rsidRDefault="00E6740C" w:rsidP="00883FA2">
      <w:r w:rsidRPr="00E6740C">
        <w:t xml:space="preserve">A sensitive example is smart home devices. If a computer vision-powered device, like a home security camera, collects data without established privacy rules, it could infringe on people’s personal space. Ensuring ethical decision-making in data analytics involves creating frameworks that ensure devices respect privacy, collect data only when necessary, and obtain permission before sharing any information. Implementing ethical guidelines for technology-driven systems ensures that technology is deployed responsibly, benefits society, and </w:t>
      </w:r>
      <w:r w:rsidRPr="00A316BB">
        <w:t>respects fundamental privacy rights</w:t>
      </w:r>
      <w:r w:rsidR="003552D0" w:rsidRPr="00A316BB">
        <w:t>.</w:t>
      </w:r>
    </w:p>
    <w:p w14:paraId="6201E5CE" w14:textId="01A0EB4E" w:rsidR="00314586" w:rsidRPr="00EF75C5" w:rsidRDefault="00860552" w:rsidP="00860552">
      <w:pPr>
        <w:pStyle w:val="Heading2"/>
      </w:pPr>
      <w:bookmarkStart w:id="14" w:name="_Toc191026910"/>
      <w:r>
        <w:t>Role</w:t>
      </w:r>
      <w:r w:rsidR="003552D0">
        <w:t>s</w:t>
      </w:r>
      <w:r>
        <w:t xml:space="preserve"> of </w:t>
      </w:r>
      <w:r w:rsidR="003552D0">
        <w:t>H</w:t>
      </w:r>
      <w:r w:rsidR="00314586" w:rsidRPr="00EF75C5">
        <w:t xml:space="preserve">uman </w:t>
      </w:r>
      <w:r w:rsidR="00A316BB">
        <w:t>Judgement</w:t>
      </w:r>
      <w:r w:rsidR="00314586" w:rsidRPr="00EF75C5">
        <w:t xml:space="preserve"> in </w:t>
      </w:r>
      <w:r w:rsidR="003552D0">
        <w:t>D</w:t>
      </w:r>
      <w:r w:rsidR="00314586" w:rsidRPr="00EF75C5">
        <w:t>ecision-</w:t>
      </w:r>
      <w:r w:rsidR="003B59D8">
        <w:t>M</w:t>
      </w:r>
      <w:r w:rsidR="00314586" w:rsidRPr="00EF75C5">
        <w:t>aking</w:t>
      </w:r>
      <w:bookmarkEnd w:id="14"/>
    </w:p>
    <w:p w14:paraId="0C7A568C" w14:textId="3FB23A06" w:rsidR="00A3352F" w:rsidRPr="00A3352F" w:rsidRDefault="00A3352F" w:rsidP="00A3352F">
      <w:pPr>
        <w:rPr>
          <w:rFonts w:cstheme="minorHAnsi"/>
        </w:rPr>
      </w:pPr>
      <w:r w:rsidRPr="00A3352F">
        <w:rPr>
          <w:rFonts w:cstheme="minorHAnsi"/>
        </w:rPr>
        <w:t>Human cognition excels at interpreting complex situations, communicating with empathy, and considering ethical implications. When paired with technology-driven insights, it strengthens decision-making. In healthcare, for example, doctors rely on technology to analyze medical images. However, their expertise, empathy, and understanding of a patient’s unique circumstances remain critical in making informed medical decisions. Similarly, in education, while technology can suggest personalized learning paths, a teacher’s ability to connect with students and adapt to their needs is irreplaceable. The human touch—through tailored lessons and emotional support—plays a crucial role in student success.</w:t>
      </w:r>
    </w:p>
    <w:p w14:paraId="57F30115" w14:textId="4C56F999" w:rsidR="00314586" w:rsidRPr="00EF75C5" w:rsidRDefault="00A3352F" w:rsidP="00A3352F">
      <w:pPr>
        <w:rPr>
          <w:rFonts w:cstheme="minorHAnsi"/>
        </w:rPr>
      </w:pPr>
      <w:r w:rsidRPr="00A3352F">
        <w:rPr>
          <w:rFonts w:cstheme="minorHAnsi"/>
        </w:rPr>
        <w:t xml:space="preserve">Creativity and vision are particularly important in business decisions, such as expanding into new markets—qualities that technology struggles to replicate. Consider a company executive planning the development of a new semiconductor chip. Data analytics can assess past sales, market demand, and </w:t>
      </w:r>
      <w:r w:rsidRPr="00A3352F">
        <w:rPr>
          <w:rFonts w:cstheme="minorHAnsi"/>
        </w:rPr>
        <w:lastRenderedPageBreak/>
        <w:t>industry trends to provide valuable insights. However, the semiconductor industry evolves rapidly, and production constraints are complex. The executive’s industry expertise helps account for factors that data alone may miss, such as competitor strategies, supply chain risks, and emerging manufacturing trends. By combining technology-driven insights with intuitive experience, the executive can make decisions that align with the company’s business strategy and production goals. This balance between human judgment and analytics is especially important in the semiconductor industry, where strategic investment in manufacturing capacity and supplier partnerships drives long-term success</w:t>
      </w:r>
      <w:r w:rsidR="00536E35">
        <w:rPr>
          <w:rFonts w:cstheme="minorHAnsi"/>
        </w:rPr>
        <w:t xml:space="preserve">. </w:t>
      </w:r>
    </w:p>
    <w:p w14:paraId="21CFABC6" w14:textId="783E887C" w:rsidR="00FA112F" w:rsidRDefault="00985F0F" w:rsidP="00860552">
      <w:pPr>
        <w:pStyle w:val="Heading3"/>
      </w:pPr>
      <w:r w:rsidRPr="007A686B">
        <w:t xml:space="preserve">How </w:t>
      </w:r>
      <w:r w:rsidR="003552D0">
        <w:t>H</w:t>
      </w:r>
      <w:r w:rsidR="00860552">
        <w:t xml:space="preserve">uman </w:t>
      </w:r>
      <w:r w:rsidR="003552D0">
        <w:t>B</w:t>
      </w:r>
      <w:r w:rsidR="00860552">
        <w:t>rains</w:t>
      </w:r>
      <w:r w:rsidR="007A686B" w:rsidRPr="007A686B">
        <w:t xml:space="preserve"> </w:t>
      </w:r>
      <w:r w:rsidR="003552D0">
        <w:t>M</w:t>
      </w:r>
      <w:r w:rsidR="007A686B" w:rsidRPr="007A686B">
        <w:t xml:space="preserve">ake </w:t>
      </w:r>
      <w:r w:rsidR="003552D0">
        <w:t>J</w:t>
      </w:r>
      <w:r w:rsidR="00593A27">
        <w:t>udgments</w:t>
      </w:r>
    </w:p>
    <w:p w14:paraId="52F5DD7D" w14:textId="31C29070" w:rsidR="00000087" w:rsidRDefault="00000087" w:rsidP="00000087">
      <w:r>
        <w:t>Decision-making is fundamentally about assessing the benefits, costs, and risks of both predictable and unpredictable uncertainties. While data and analysis provide valuable insights, many decisions must be made in the absence of complete information. In these cases, the ability to trust one's instincts and make judgment calls becomes essential. When decision-makers rely on their subconscious, they can respond quickly and effectively, even under pressure. However, intuitive decision-making is not always reliable. It is shaped by emotions and personal biases, which can lead to inconsistent judgments.</w:t>
      </w:r>
    </w:p>
    <w:p w14:paraId="30A1A642" w14:textId="4BC86A81" w:rsidR="00000087" w:rsidRDefault="00000087" w:rsidP="00000087">
      <w:r>
        <w:t>Understanding how the brain processes information and forms judgments helps decision-makers recognize when to rely on intuition and when to apply more structured reasoning. This awareness is particularly important in complex or high-stakes situations, where a misjudgment can have significant consequences.</w:t>
      </w:r>
    </w:p>
    <w:p w14:paraId="56856F43" w14:textId="7E0A38FC" w:rsidR="00CE5C42" w:rsidRDefault="00000087" w:rsidP="00000087">
      <w:r>
        <w:t xml:space="preserve">Humans primarily rely on two inherent processes for decision-making: </w:t>
      </w:r>
      <w:r w:rsidRPr="00000087">
        <w:rPr>
          <w:b/>
          <w:bCs/>
        </w:rPr>
        <w:t>pattern recognition</w:t>
      </w:r>
      <w:r>
        <w:t xml:space="preserve"> and </w:t>
      </w:r>
      <w:r w:rsidRPr="00000087">
        <w:rPr>
          <w:b/>
          <w:bCs/>
        </w:rPr>
        <w:t>emotional tagging</w:t>
      </w:r>
      <w:r>
        <w:t>.</w:t>
      </w:r>
    </w:p>
    <w:p w14:paraId="1AC637CA" w14:textId="77777777" w:rsidR="00000087" w:rsidRPr="00000087" w:rsidRDefault="00000087" w:rsidP="00000087">
      <w:pPr>
        <w:rPr>
          <w:b/>
          <w:bCs/>
        </w:rPr>
      </w:pPr>
      <w:r w:rsidRPr="00000087">
        <w:rPr>
          <w:b/>
          <w:bCs/>
        </w:rPr>
        <w:t>Pattern Recognition in Decision-Making</w:t>
      </w:r>
    </w:p>
    <w:p w14:paraId="6826AF57" w14:textId="6BDB64D5" w:rsidR="00000087" w:rsidRDefault="00000087" w:rsidP="00000087">
      <w:r>
        <w:t xml:space="preserve">Pattern recognition integrates information from various brain regions, allowing individuals to draw conclusions based on past experiences when faced with a new but comparable situation. Just as a chess </w:t>
      </w:r>
      <w:r>
        <w:lastRenderedPageBreak/>
        <w:t>master quickly selects moves based on familiar patterns, people often rely on past experiences to navigate new decisions.</w:t>
      </w:r>
    </w:p>
    <w:p w14:paraId="360B3413" w14:textId="61503898" w:rsidR="00000087" w:rsidRDefault="00000087" w:rsidP="00000087">
      <w:r>
        <w:t>A clear example of pattern recognition occurs in medical diagnostics. Experienced doctors often rely on pattern recognition to diagnose illnesses. For instance, a cardiologist who has treated numerous cases of heart disease may quickly recognize symptoms and diagnostic patterns—such as chest pain and shortness of breath—indicative of a myocardial infarction (heart attack). When a patient presents with similar symptoms, the cardiologist can efficiently diagnose the condition and recommend treatment based on previous cases.</w:t>
      </w:r>
    </w:p>
    <w:p w14:paraId="404E58AD" w14:textId="19BE9EE5" w:rsidR="00000087" w:rsidRDefault="00000087" w:rsidP="00000087">
      <w:r w:rsidRPr="00000087">
        <w:t>Pattern recognition enables fast and often accurate decision-making, but it has limitations. Over-reliance on familiar patterns can lead to misdiagnoses, especially when encountering atypical cases that do not fit expected presentations. Additionally, because pattern recognition is shaped by personal experience, it may overlook factors beyond those boundaries. This highlights the need to balance pattern recognition with critical analysis to minimize errors</w:t>
      </w:r>
      <w:r>
        <w:t>.</w:t>
      </w:r>
    </w:p>
    <w:p w14:paraId="35336216" w14:textId="40E28604" w:rsidR="00000087" w:rsidRPr="00000087" w:rsidRDefault="00000087" w:rsidP="00000087">
      <w:pPr>
        <w:rPr>
          <w:b/>
          <w:bCs/>
        </w:rPr>
      </w:pPr>
      <w:r w:rsidRPr="00000087">
        <w:rPr>
          <w:b/>
          <w:bCs/>
        </w:rPr>
        <w:t>Emotional Tagging and Its Influence</w:t>
      </w:r>
    </w:p>
    <w:p w14:paraId="2671149E" w14:textId="3B53AE41" w:rsidR="00000087" w:rsidRDefault="00000087" w:rsidP="00000087">
      <w:r>
        <w:t xml:space="preserve">The second human decision-making process, emotional tagging, involves associating intuitive reasoning with beliefs and principles stored in memory. While emotional tagging can help individuals make </w:t>
      </w:r>
      <w:r w:rsidR="0037008B">
        <w:t>choices</w:t>
      </w:r>
      <w:r>
        <w:t xml:space="preserve"> that align with their values and experiences, it also introduces </w:t>
      </w:r>
      <w:r w:rsidR="0037008B">
        <w:t xml:space="preserve">personal </w:t>
      </w:r>
      <w:r>
        <w:t xml:space="preserve">bias. When </w:t>
      </w:r>
      <w:r w:rsidR="0037008B">
        <w:t>personal believes</w:t>
      </w:r>
      <w:r>
        <w:t xml:space="preserve"> shape new judgments too strongly, they can create </w:t>
      </w:r>
      <w:r w:rsidR="0037008B">
        <w:t>trenched opinions</w:t>
      </w:r>
      <w:r>
        <w:t xml:space="preserve"> that make it difficult to </w:t>
      </w:r>
      <w:r w:rsidR="0037008B">
        <w:t xml:space="preserve">adjust </w:t>
      </w:r>
      <w:r>
        <w:t>to new circumstances.</w:t>
      </w:r>
    </w:p>
    <w:p w14:paraId="74969284" w14:textId="6AB90DB3" w:rsidR="00000087" w:rsidRDefault="00000087" w:rsidP="00000087">
      <w:r>
        <w:t>A</w:t>
      </w:r>
      <w:r w:rsidR="00C44FF7">
        <w:t xml:space="preserve">n </w:t>
      </w:r>
      <w:r>
        <w:t xml:space="preserve">example of emotional tagging appears in </w:t>
      </w:r>
      <w:r w:rsidR="00C44FF7" w:rsidRPr="00C44FF7">
        <w:t>investment decisions. Suppose an investor once lost a significant amount of money on a particular stock due to an unexpected market downturn. That negative experience may cause the</w:t>
      </w:r>
      <w:r w:rsidR="00C44FF7">
        <w:t xml:space="preserve"> investor </w:t>
      </w:r>
      <w:r w:rsidR="00C44FF7" w:rsidRPr="00C44FF7">
        <w:t xml:space="preserve">to avoid the stock—or even the entire industry—despite new data suggesting strong potential for growth. Conversely, if an investor previously profited from a company, </w:t>
      </w:r>
      <w:r w:rsidR="00C44FF7" w:rsidRPr="00C44FF7">
        <w:lastRenderedPageBreak/>
        <w:t>they might remain overly loyal to it, overlooking signs of decline. In both cases, past emotional experiences shape decisions, sometimes leading to missed opportunities or unnecessary risks</w:t>
      </w:r>
      <w:r>
        <w:t>.</w:t>
      </w:r>
    </w:p>
    <w:p w14:paraId="76FE6B12" w14:textId="776E74C5" w:rsidR="00000087" w:rsidRPr="0037008B" w:rsidRDefault="00000087" w:rsidP="00000087">
      <w:pPr>
        <w:rPr>
          <w:b/>
          <w:bCs/>
        </w:rPr>
      </w:pPr>
      <w:r w:rsidRPr="0037008B">
        <w:rPr>
          <w:b/>
          <w:bCs/>
        </w:rPr>
        <w:t>Balancing Intuition with Analytical Thinking</w:t>
      </w:r>
    </w:p>
    <w:p w14:paraId="58B43E41" w14:textId="0151C163" w:rsidR="00000087" w:rsidRDefault="00000087" w:rsidP="00000087">
      <w:r>
        <w:t>Both pattern recognition and emotional tagging are generally useful in decision-making, but they can also introduce biases that lead to suboptimal outcomes. Recognizing these cognitive tendencies allows individuals to approach decisions with greater awareness and apply structured reasoning when necessary.</w:t>
      </w:r>
    </w:p>
    <w:p w14:paraId="7DE4B7A7" w14:textId="76E31751" w:rsidR="007A686B" w:rsidRPr="0037008B" w:rsidRDefault="004E333F" w:rsidP="00CE5C42">
      <w:pPr>
        <w:rPr>
          <w:highlight w:val="yellow"/>
        </w:rPr>
      </w:pPr>
      <w:r>
        <w:t>Next c</w:t>
      </w:r>
      <w:r w:rsidR="00000087">
        <w:t xml:space="preserve">hapters will </w:t>
      </w:r>
      <w:r>
        <w:t>explain in detail</w:t>
      </w:r>
      <w:r w:rsidR="00000087">
        <w:t xml:space="preserve"> how these psychological mechanisms influence decision-making and, at times, contribute to ineffective choices. Additionally, practical </w:t>
      </w:r>
      <w:r w:rsidR="00C44FF7">
        <w:t>tactics</w:t>
      </w:r>
      <w:r w:rsidR="00000087">
        <w:t xml:space="preserve"> for mitigating biases will be discussed, helping decision-makers improve their overall decision quality and achieve better outcomes in professional and personal settings</w:t>
      </w:r>
      <w:r w:rsidR="00CE5C42">
        <w:t>.</w:t>
      </w:r>
    </w:p>
    <w:p w14:paraId="4E39DC34" w14:textId="7C4B9F22" w:rsidR="00691272" w:rsidRDefault="00691272" w:rsidP="00691272">
      <w:pPr>
        <w:pStyle w:val="Heading3"/>
      </w:pPr>
      <w:r>
        <w:t>Individual Risk</w:t>
      </w:r>
      <w:r w:rsidR="009560DB">
        <w:t xml:space="preserve"> T</w:t>
      </w:r>
      <w:r>
        <w:t>olerance and Decision</w:t>
      </w:r>
      <w:r w:rsidR="003552D0">
        <w:t>-</w:t>
      </w:r>
      <w:r w:rsidR="003B59D8">
        <w:t>M</w:t>
      </w:r>
      <w:r>
        <w:t xml:space="preserve">aking </w:t>
      </w:r>
    </w:p>
    <w:p w14:paraId="070E860B" w14:textId="4C5C263B" w:rsidR="004E333F" w:rsidRDefault="006A5459" w:rsidP="004E333F">
      <w:r w:rsidRPr="006A5459">
        <w:t xml:space="preserve">After examining how judgments are made, it’s </w:t>
      </w:r>
      <w:r>
        <w:t>important</w:t>
      </w:r>
      <w:r w:rsidRPr="006A5459">
        <w:t xml:space="preserve"> to recognize that an individual's attitude toward risk directly influences those judgments. Risk-averse individuals focus on potential losses and prioritize safety when weighing their options. In contrast, risk-seekers are more likely to base their decisions on potential gains, even if it involves greater uncertainty. This difference in risk tolerance shapes how people assess trade-offs between gain and loss, whether in business, financial decisions, or everyday life</w:t>
      </w:r>
      <w:r w:rsidR="00C754E6">
        <w:t xml:space="preserve">. </w:t>
      </w:r>
      <w:r w:rsidR="004E333F">
        <w:t>.</w:t>
      </w:r>
    </w:p>
    <w:p w14:paraId="1E7C8E38" w14:textId="1F2BED86" w:rsidR="006A5459" w:rsidRDefault="006A5459" w:rsidP="006A5459">
      <w:r>
        <w:t xml:space="preserve">Several factors contribute to an individual's risk tolerance. Personality traits, such as optimism and confidence, often encourage a higher willingness to take risks. For example, someone who is naturally optimistic may be more inclined to take on a challenging new job with uncertain outcomes, seeing it as an opportunity for growth rather than a potential failure. </w:t>
      </w:r>
      <w:r w:rsidR="00BF118B" w:rsidRPr="00BF118B">
        <w:t xml:space="preserve">For example, someone who is naturally optimistic may be more inclined to take on a challenging new job with uncertain outcomes, seeing it as </w:t>
      </w:r>
      <w:r w:rsidR="00BF118B" w:rsidRPr="00BF118B">
        <w:lastRenderedPageBreak/>
        <w:t>an opportunity for growth rather than a potential failure. Similarly, a person who feels confident in their abilities might decide to move to a new city for a fresh start, even though the situation is unpredictable and involves new challenges, trusting in their ability to adapt and thrive in a new environment</w:t>
      </w:r>
      <w:r>
        <w:t>.</w:t>
      </w:r>
    </w:p>
    <w:p w14:paraId="6B28EB38" w14:textId="2125B1FF" w:rsidR="006A5459" w:rsidRDefault="001224D8" w:rsidP="006A5459">
      <w:r w:rsidRPr="001224D8">
        <w:t>Financial status—including wealth, income, and savings—also plays a significant role in shaping risk tolerance. Someone with a solid financial foundation, like an investor with a substantial portfolio, may be more willing to invest in a startup, knowing they have the resources to absorb potential losses. On the other hand, someone with fewer financial resources might prefer a more conservative approach, choosing safer investments or avoiding risky ventures altogether</w:t>
      </w:r>
      <w:r w:rsidR="006A5459">
        <w:t>.</w:t>
      </w:r>
    </w:p>
    <w:p w14:paraId="49876466" w14:textId="1A2FBD47" w:rsidR="006A5459" w:rsidRDefault="006A5459" w:rsidP="006A5459">
      <w:r>
        <w:t xml:space="preserve">The time horizon for achieving goals also impacts risk tolerance. </w:t>
      </w:r>
      <w:r w:rsidR="00BF118B" w:rsidRPr="00BF118B">
        <w:t>Individuals with long-term objectives</w:t>
      </w:r>
      <w:r w:rsidR="00BF118B">
        <w:t xml:space="preserve"> </w:t>
      </w:r>
      <w:r w:rsidR="00BF118B" w:rsidRPr="00BF118B">
        <w:t xml:space="preserve">may be more willing to tolerate short-term challenges for the chance of a greater payoff down the road. For instance, someone looking to start their own business might accept early financial strain or uncertain cash flow, focusing on the potential for long-term growth. In contrast, someone with short-term goals, like </w:t>
      </w:r>
      <w:r w:rsidR="00BF118B">
        <w:t>saving for</w:t>
      </w:r>
      <w:r w:rsidR="00BF118B" w:rsidRPr="00BF118B">
        <w:t xml:space="preserve"> a </w:t>
      </w:r>
      <w:r w:rsidR="00BF118B">
        <w:t>new car</w:t>
      </w:r>
      <w:r w:rsidR="00BF118B" w:rsidRPr="00BF118B">
        <w:t xml:space="preserve"> within the next year, might prefer safer, more immediate financial options</w:t>
      </w:r>
      <w:r>
        <w:t>.</w:t>
      </w:r>
    </w:p>
    <w:p w14:paraId="29CCA5DC" w14:textId="77777777" w:rsidR="005D0229" w:rsidRDefault="005D0229" w:rsidP="005D0229">
      <w:r w:rsidRPr="005D0229">
        <w:t>Additionally, past experiences can shape how willing someone is to take risks. A person who has successfully navigated risk in the past, such as an entrepreneur who launched and grew a successful business, may be more likely to take on similar risks again, believing their prior success is a predictor of future outcomes. Conversely, someone who faced significant setbacks or losses may be more cautious, avoiding similar risks in the future to prevent repeating past mistakes</w:t>
      </w:r>
      <w:r w:rsidR="006A5459">
        <w:t>.</w:t>
      </w:r>
      <w:r w:rsidRPr="005D0229">
        <w:t xml:space="preserve"> </w:t>
      </w:r>
    </w:p>
    <w:p w14:paraId="2B11F33F" w14:textId="69278502" w:rsidR="00272C72" w:rsidRDefault="00BF5B21" w:rsidP="003552D0">
      <w:r w:rsidRPr="00BF5B21">
        <w:t xml:space="preserve">Understanding these factors enables decision-makers to approach their choices with greater confidence and clarity. By </w:t>
      </w:r>
      <w:r>
        <w:t>considering</w:t>
      </w:r>
      <w:r w:rsidRPr="00BF5B21">
        <w:t xml:space="preserve"> their personality, financial situation, and long-term goals, they can more effectively determine when to embrace risk and when to exercise caution. This self-awareness also minimizes distractions from external pressures or others' opinions, allowing decisions to remain aligned with personal values and objectives.</w:t>
      </w:r>
    </w:p>
    <w:p w14:paraId="777ECC79" w14:textId="19F31AF0" w:rsidR="00701F45" w:rsidRDefault="00691272" w:rsidP="00701F45">
      <w:pPr>
        <w:pStyle w:val="Heading4"/>
      </w:pPr>
      <w:r>
        <w:lastRenderedPageBreak/>
        <w:t>Risk</w:t>
      </w:r>
      <w:r w:rsidR="006C27C2">
        <w:t xml:space="preserve"> Tolerance </w:t>
      </w:r>
      <w:r w:rsidR="003552D0">
        <w:t>A</w:t>
      </w:r>
      <w:r>
        <w:t>ssessment</w:t>
      </w:r>
    </w:p>
    <w:p w14:paraId="29818DD3" w14:textId="7E338F8D" w:rsidR="00BF5B21" w:rsidRDefault="00BF5B21" w:rsidP="00BF5B21">
      <w:r>
        <w:t>A simple decision-making exercise can help you assess your comfort level with risk. The following two scenarios present business decisions where risk tolerance plays a key role. There are no right or wrong answers—your goal is to choose the option that best aligns with your natural judgment. No advanced analysis is needed; simply go with what feels most appropriate.</w:t>
      </w:r>
    </w:p>
    <w:p w14:paraId="7DB51C52" w14:textId="6CFCA18B" w:rsidR="00BF5B21" w:rsidRPr="00772A2B" w:rsidRDefault="00BF5B21" w:rsidP="00BF5B21">
      <w:r>
        <w:t>In both scenarios, imagine yourself as a product development director at an automation software company and a candidate for a Vice President (VP) position in a newly established data analytics business unit. The company's executive selection process places significant weight on a candidate’s financial performance track record. Read the cases below and select the option that best reflects your approach to risk.</w:t>
      </w:r>
    </w:p>
    <w:p w14:paraId="7F821554" w14:textId="32CE4CD4" w:rsidR="00BF5B21" w:rsidRPr="00772A2B" w:rsidRDefault="00BF5B21" w:rsidP="00BF5B21">
      <w:pPr>
        <w:rPr>
          <w:b/>
          <w:bCs/>
        </w:rPr>
      </w:pPr>
      <w:r w:rsidRPr="00772A2B">
        <w:rPr>
          <w:b/>
          <w:bCs/>
        </w:rPr>
        <w:t>Scenario 1</w:t>
      </w:r>
    </w:p>
    <w:p w14:paraId="0E78A0E8" w14:textId="2F663A42" w:rsidR="00BF5B21" w:rsidRDefault="00BF5B21" w:rsidP="00BF5B21">
      <w:r>
        <w:t>At the beginning of the fiscal year, you launched a new machine-learning product. Market response exceeded expectations, generating a $10 million profit in the first half of the year. Your performance target is to achieve $20 million in profit by year-end. For the remaining six months, you have two options:</w:t>
      </w:r>
    </w:p>
    <w:p w14:paraId="44C1962F" w14:textId="77777777" w:rsidR="00BF5B21" w:rsidRDefault="00BF5B21" w:rsidP="00D81274">
      <w:pPr>
        <w:pStyle w:val="ListParagraph"/>
        <w:numPr>
          <w:ilvl w:val="0"/>
          <w:numId w:val="46"/>
        </w:numPr>
      </w:pPr>
      <w:r>
        <w:t>Option A: Release an updated version of the machine-learning product, which has an 80% chance of generating an additional $15 million in profit but a 20% risk of losing $5 million.</w:t>
      </w:r>
    </w:p>
    <w:p w14:paraId="51AB61DD" w14:textId="77777777" w:rsidR="00BF5B21" w:rsidRDefault="00BF5B21" w:rsidP="00D81274">
      <w:pPr>
        <w:pStyle w:val="ListParagraph"/>
        <w:numPr>
          <w:ilvl w:val="0"/>
          <w:numId w:val="46"/>
        </w:numPr>
      </w:pPr>
      <w:r>
        <w:t>Option B: Focus on supporting sales of the existing version, guaranteeing a $11 million profit with no risk of loss.</w:t>
      </w:r>
    </w:p>
    <w:p w14:paraId="54282E21" w14:textId="750A0A5E" w:rsidR="00BF5B21" w:rsidRPr="00772A2B" w:rsidRDefault="00BF5B21" w:rsidP="00BF5B21">
      <w:pPr>
        <w:rPr>
          <w:i/>
          <w:iCs/>
        </w:rPr>
      </w:pPr>
      <w:r w:rsidRPr="00772A2B">
        <w:rPr>
          <w:i/>
          <w:iCs/>
        </w:rPr>
        <w:t>Which option would you choose?</w:t>
      </w:r>
    </w:p>
    <w:p w14:paraId="56A0464A" w14:textId="77777777" w:rsidR="00772A2B" w:rsidRDefault="00BF5B21" w:rsidP="00BF5B21">
      <w:pPr>
        <w:rPr>
          <w:b/>
          <w:bCs/>
        </w:rPr>
      </w:pPr>
      <w:r w:rsidRPr="00772A2B">
        <w:rPr>
          <w:b/>
          <w:bCs/>
        </w:rPr>
        <w:t>Scenario 2</w:t>
      </w:r>
    </w:p>
    <w:p w14:paraId="065D4EF0" w14:textId="1BD2FECA" w:rsidR="00BF5B21" w:rsidRPr="00772A2B" w:rsidRDefault="00BF5B21" w:rsidP="00BF5B21">
      <w:pPr>
        <w:rPr>
          <w:b/>
          <w:bCs/>
        </w:rPr>
      </w:pPr>
      <w:r>
        <w:lastRenderedPageBreak/>
        <w:t>At the start of the fiscal year, you launched a new machine-learning product, but market response fell short of expectations, earning only $3 million in the first half. Your performance target remains $20 million in profit by year-end. To meet this goal, you have two choices:</w:t>
      </w:r>
    </w:p>
    <w:p w14:paraId="44AA0BAE" w14:textId="7FDEBEA8" w:rsidR="00BF5B21" w:rsidRDefault="00BF5B21" w:rsidP="00D81274">
      <w:pPr>
        <w:pStyle w:val="ListParagraph"/>
        <w:numPr>
          <w:ilvl w:val="0"/>
          <w:numId w:val="47"/>
        </w:numPr>
      </w:pPr>
      <w:r>
        <w:t xml:space="preserve">Option I: Develop a new generative AI product, with a 60% chance of earning $27 million but a 40% risk of losing $5 million. Success could position the company as an industry leader, but failure may </w:t>
      </w:r>
      <w:r w:rsidR="00772A2B">
        <w:t>drain resources for</w:t>
      </w:r>
      <w:r>
        <w:t xml:space="preserve"> future product development.</w:t>
      </w:r>
    </w:p>
    <w:p w14:paraId="4A8ED86B" w14:textId="3DB70BF0" w:rsidR="00BF5B21" w:rsidRDefault="00BF5B21" w:rsidP="00D81274">
      <w:pPr>
        <w:pStyle w:val="ListParagraph"/>
        <w:numPr>
          <w:ilvl w:val="0"/>
          <w:numId w:val="47"/>
        </w:numPr>
      </w:pPr>
      <w:r>
        <w:t>Option II: Release an improved version of the existing product, which has an 80% chance of generating $1</w:t>
      </w:r>
      <w:r w:rsidR="00772A2B">
        <w:t>7</w:t>
      </w:r>
      <w:r>
        <w:t xml:space="preserve"> million in profit and a 20% chance of breaking even.</w:t>
      </w:r>
    </w:p>
    <w:p w14:paraId="65116247" w14:textId="77777777" w:rsidR="00BF5B21" w:rsidRPr="00772A2B" w:rsidRDefault="00BF5B21" w:rsidP="00BF5B21">
      <w:pPr>
        <w:rPr>
          <w:i/>
          <w:iCs/>
        </w:rPr>
      </w:pPr>
      <w:r w:rsidRPr="00772A2B">
        <w:rPr>
          <w:i/>
          <w:iCs/>
        </w:rPr>
        <w:t>Which option would you choose?</w:t>
      </w:r>
    </w:p>
    <w:p w14:paraId="14A30688" w14:textId="06AB6DA1" w:rsidR="003552D0" w:rsidRDefault="00772A2B" w:rsidP="003552D0">
      <w:r w:rsidRPr="00772A2B">
        <w:t xml:space="preserve">Before evaluating what your choices reveal about your risk tolerance, it is essential to understand a fundamental principle of </w:t>
      </w:r>
      <w:r w:rsidR="00694005">
        <w:t>e</w:t>
      </w:r>
      <w:r w:rsidR="00694005" w:rsidRPr="00694005">
        <w:t xml:space="preserve">conomic </w:t>
      </w:r>
      <w:r w:rsidR="00694005">
        <w:t>p</w:t>
      </w:r>
      <w:r w:rsidR="00694005" w:rsidRPr="00694005">
        <w:t xml:space="preserve">sychology </w:t>
      </w:r>
      <w:r w:rsidRPr="00772A2B">
        <w:t>that shapes human decision-makin</w:t>
      </w:r>
      <w:r>
        <w:t>g</w:t>
      </w:r>
      <w:r w:rsidR="003552D0">
        <w:t>.</w:t>
      </w:r>
    </w:p>
    <w:p w14:paraId="538F4807" w14:textId="5290F113" w:rsidR="00B51761" w:rsidRDefault="00B51761" w:rsidP="00B51761">
      <w:pPr>
        <w:pStyle w:val="Heading3"/>
      </w:pPr>
      <w:r>
        <w:t xml:space="preserve">Prospect </w:t>
      </w:r>
      <w:r w:rsidR="003552D0">
        <w:t>P</w:t>
      </w:r>
      <w:r>
        <w:t>rinciple</w:t>
      </w:r>
    </w:p>
    <w:p w14:paraId="7B146370" w14:textId="19AF4F60" w:rsidR="00694005" w:rsidRDefault="00694005" w:rsidP="00694005">
      <w:r>
        <w:t xml:space="preserve">The Prospect Principle, developed by Daniel Kahneman and Amos Tversky, serves as a cornerstone of behavioral economics, explaining how individuals assess risk and make decisions under uncertainty. Their groundbreaking research demonstrated that people tend to be risk-averse, </w:t>
      </w:r>
      <w:r>
        <w:rPr>
          <w:rFonts w:hint="eastAsia"/>
          <w:lang w:eastAsia="zh-CN"/>
        </w:rPr>
        <w:t>for</w:t>
      </w:r>
      <w:r>
        <w:rPr>
          <w:lang w:eastAsia="zh-CN"/>
        </w:rPr>
        <w:t xml:space="preserve"> instance </w:t>
      </w:r>
      <w:r>
        <w:t>experiencing the pain of losing $100 more intensely than the satisfaction of gaining $150. This insight has profound implications for economic decision-making. In recognition of their work, Kahneman was awarded the 2002 Nobel Memorial Prize in Economic Sciences, six years after Tversky’s passing.</w:t>
      </w:r>
    </w:p>
    <w:p w14:paraId="65068C4F" w14:textId="33FD75A5" w:rsidR="004B79B7" w:rsidRDefault="00694005" w:rsidP="00694005">
      <w:r>
        <w:t>The graph below illustrates this principle. The X-axis represents economic outcomes, with financial gains on the right and losses on the left. The Y-axis reflects the subjective value people assign to these outcomes. The curve reveals a core insight: humans in general underappreciate financial gains beyond a certain threshold while disproportionately focusing on potential losses</w:t>
      </w:r>
      <w:r w:rsidR="004B79B7">
        <w:t>.</w:t>
      </w:r>
    </w:p>
    <w:p w14:paraId="17075CC6" w14:textId="107EC5F0" w:rsidR="00E318D0" w:rsidRDefault="00E318D0" w:rsidP="004B79B7">
      <w:r>
        <w:rPr>
          <w:noProof/>
          <w:sz w:val="20"/>
        </w:rPr>
        <w:lastRenderedPageBreak/>
        <w:drawing>
          <wp:inline distT="0" distB="0" distL="0" distR="0" wp14:anchorId="6A7C4FE4" wp14:editId="43FB1B25">
            <wp:extent cx="5943600" cy="3334129"/>
            <wp:effectExtent l="0" t="0" r="0" b="0"/>
            <wp:docPr id="5" name="Image 5" descr="þ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þÿ"/>
                    <pic:cNvPicPr/>
                  </pic:nvPicPr>
                  <pic:blipFill>
                    <a:blip r:embed="rId9" cstate="print"/>
                    <a:stretch>
                      <a:fillRect/>
                    </a:stretch>
                  </pic:blipFill>
                  <pic:spPr>
                    <a:xfrm>
                      <a:off x="0" y="0"/>
                      <a:ext cx="5943600" cy="3334129"/>
                    </a:xfrm>
                    <a:prstGeom prst="rect">
                      <a:avLst/>
                    </a:prstGeom>
                  </pic:spPr>
                </pic:pic>
              </a:graphicData>
            </a:graphic>
          </wp:inline>
        </w:drawing>
      </w:r>
    </w:p>
    <w:p w14:paraId="4B6C48C4" w14:textId="14307401" w:rsidR="001224D8" w:rsidRDefault="00694005" w:rsidP="00694005">
      <w:pPr>
        <w:rPr>
          <w:b/>
          <w:bCs/>
        </w:rPr>
      </w:pPr>
      <w:r w:rsidRPr="00694005">
        <w:rPr>
          <w:b/>
          <w:bCs/>
        </w:rPr>
        <w:t>Diminishing Sensitivity to Gains and Losses</w:t>
      </w:r>
    </w:p>
    <w:p w14:paraId="68CC0E14" w14:textId="3CB373BF" w:rsidR="00694005" w:rsidRPr="001224D8" w:rsidRDefault="00694005" w:rsidP="00694005">
      <w:pPr>
        <w:rPr>
          <w:b/>
          <w:bCs/>
        </w:rPr>
      </w:pPr>
      <w:r>
        <w:t>Another key takeaway from the Prospect Principle is that individuals become less sensitive to incremental changes as gains or losses accumulate. The emotional impact of additional profits or losses diminishes over time, shaping financial behavior in two notable ways:</w:t>
      </w:r>
    </w:p>
    <w:p w14:paraId="77451012" w14:textId="42B34730" w:rsidR="00694005" w:rsidRDefault="00694005" w:rsidP="00D81274">
      <w:pPr>
        <w:pStyle w:val="ListParagraph"/>
        <w:numPr>
          <w:ilvl w:val="0"/>
          <w:numId w:val="48"/>
        </w:numPr>
      </w:pPr>
      <w:r w:rsidRPr="00B40403">
        <w:t>Cautious Behavior After Success</w:t>
      </w:r>
      <w:r w:rsidR="00B40403">
        <w:t>:</w:t>
      </w:r>
      <w:r>
        <w:t xml:space="preserve"> Investors who experience significant financial gains often shift to a more conservative approach. As the excitement of success fades, they prioritize stability over further risk-taking.</w:t>
      </w:r>
    </w:p>
    <w:p w14:paraId="2F867794" w14:textId="2A5EF963" w:rsidR="00694005" w:rsidRDefault="00694005" w:rsidP="00D81274">
      <w:pPr>
        <w:pStyle w:val="ListParagraph"/>
        <w:numPr>
          <w:ilvl w:val="0"/>
          <w:numId w:val="48"/>
        </w:numPr>
      </w:pPr>
      <w:r>
        <w:t>Escalating Risk-Taking After Losses</w:t>
      </w:r>
      <w:r w:rsidR="00B40403">
        <w:t xml:space="preserve">: </w:t>
      </w:r>
      <w:r>
        <w:t xml:space="preserve">Conversely, those who suffer substantial losses </w:t>
      </w:r>
      <w:r w:rsidR="00B40403">
        <w:t>tend to</w:t>
      </w:r>
      <w:r>
        <w:t xml:space="preserve"> make increasingly risky decisions, driven by a psychological urge to recover. This tendency explain</w:t>
      </w:r>
      <w:r w:rsidR="00B40403">
        <w:t>s</w:t>
      </w:r>
      <w:r>
        <w:t xml:space="preserve"> why some gamblers misjudg</w:t>
      </w:r>
      <w:r w:rsidR="00B40403">
        <w:t>e</w:t>
      </w:r>
      <w:r>
        <w:t xml:space="preserve"> their chances of regaining what they lost</w:t>
      </w:r>
      <w:r w:rsidR="00B40403">
        <w:t xml:space="preserve"> and persist despite mounting losses</w:t>
      </w:r>
      <w:r>
        <w:t>.</w:t>
      </w:r>
    </w:p>
    <w:p w14:paraId="73DBAD8F" w14:textId="34578922" w:rsidR="00EE688B" w:rsidRDefault="00EE688B" w:rsidP="00CA68B8">
      <w:r w:rsidRPr="00EE688B">
        <w:t>Behavioral psychologists have extensively documented risk aversion, noting that people avoid risk not due to a lack of confidence, but because they prioritize stability. Confident individuals can still be risk-</w:t>
      </w:r>
      <w:r w:rsidRPr="00EE688B">
        <w:lastRenderedPageBreak/>
        <w:t xml:space="preserve">averse if they value maintaining their current achievements rather than exposing themselves to unnecessary volatility. For instance, </w:t>
      </w:r>
      <w:r>
        <w:t>successful</w:t>
      </w:r>
      <w:r w:rsidRPr="00EE688B">
        <w:t xml:space="preserve"> investors may avoid speculative stocks, not because they lack confidence, but because they understand the unpredictability of the market and prefer steady, reliable growth. Similarly, even skilled executives often weigh risks carefully, ensuring they don’t jeopardize their company’s stability. In these cases, risk aversion arises from a rational assessment of potential outcomes, not a deficiency in self-confidence</w:t>
      </w:r>
      <w:r>
        <w:t>.</w:t>
      </w:r>
    </w:p>
    <w:p w14:paraId="40E1710E" w14:textId="77777777" w:rsidR="0089349E" w:rsidRPr="0089349E" w:rsidRDefault="0089349E" w:rsidP="0089349E">
      <w:pPr>
        <w:rPr>
          <w:b/>
          <w:bCs/>
        </w:rPr>
      </w:pPr>
      <w:r w:rsidRPr="0089349E">
        <w:rPr>
          <w:b/>
          <w:bCs/>
        </w:rPr>
        <w:t>Example: Risk Aversion in Investment Decisions</w:t>
      </w:r>
    </w:p>
    <w:p w14:paraId="187D8DE2" w14:textId="0C5EE40D" w:rsidR="008013D0" w:rsidRDefault="008013D0" w:rsidP="008013D0">
      <w:r>
        <w:t xml:space="preserve">A real-world investment case illustrates how risk aversion can impact decision-making. </w:t>
      </w:r>
      <w:r w:rsidR="001224D8">
        <w:t>A</w:t>
      </w:r>
      <w:r>
        <w:t xml:space="preserve">n investor's portfolio has significantly outperformed the S&amp;P, generating returns well above the average 7%. As the second half of the year approached, the investor, seeking to protect these gains, considered reallocating some stock investments into safer bond assets. </w:t>
      </w:r>
      <w:r w:rsidR="001224D8" w:rsidRPr="001224D8">
        <w:t>his judgment was driven by the assumption of potential market volatility and the desire to avoid any loss, which is a common reaction in situations of perceived uncertainty</w:t>
      </w:r>
      <w:r>
        <w:t>.</w:t>
      </w:r>
    </w:p>
    <w:p w14:paraId="03F2996C" w14:textId="5B1DA161" w:rsidR="008013D0" w:rsidRDefault="008013D0" w:rsidP="008013D0">
      <w:r>
        <w:t>However, a more thorough analysis at the time would have revealed two possible market scenarios:</w:t>
      </w:r>
    </w:p>
    <w:p w14:paraId="0CF4844D" w14:textId="73F849A9" w:rsidR="008013D0" w:rsidRDefault="008013D0" w:rsidP="00D81274">
      <w:pPr>
        <w:pStyle w:val="ListParagraph"/>
        <w:numPr>
          <w:ilvl w:val="0"/>
          <w:numId w:val="49"/>
        </w:numPr>
      </w:pPr>
      <w:r>
        <w:t>A slower, gradual decline in returns, leading to a minor reduction rather than a loss.</w:t>
      </w:r>
    </w:p>
    <w:p w14:paraId="1B843D11" w14:textId="77777777" w:rsidR="008013D0" w:rsidRDefault="008013D0" w:rsidP="00D81274">
      <w:pPr>
        <w:pStyle w:val="ListParagraph"/>
        <w:numPr>
          <w:ilvl w:val="0"/>
          <w:numId w:val="49"/>
        </w:numPr>
      </w:pPr>
      <w:r>
        <w:t>A more volatile market with substantial risk of loss.</w:t>
      </w:r>
    </w:p>
    <w:p w14:paraId="71906438" w14:textId="172EC38B" w:rsidR="008013D0" w:rsidRDefault="008013D0" w:rsidP="008013D0">
      <w:r>
        <w:t>The more probable scenario was the first one—characterized by a modest fluctuation aligned with long-term market trends. The investor's decision to sell, however, was based on a fear of the second, more dramatic downturn scenario, which reflected the classic risk-aversion tendency to avoid loss, even when the likelihood of that outcome was low.</w:t>
      </w:r>
    </w:p>
    <w:p w14:paraId="1F63B162" w14:textId="5332C98B" w:rsidR="0089349E" w:rsidRDefault="008013D0" w:rsidP="0089349E">
      <w:r>
        <w:t xml:space="preserve">This example demonstrates how the Prospect Principle's concept of loss aversion—where individuals are more sensitive to losses than equivalent gains—can lead to premature decisions. The emotional impact of a potential loss outweighs the benefits of staying the course, even when the data suggests that </w:t>
      </w:r>
      <w:r>
        <w:lastRenderedPageBreak/>
        <w:t>holding the position would likely yield better results. By integrating a structured analysis of potential outcomes and considering the historical trends, the investor could have avoided this bias, aligning their decision-making more closely with the most probable scenario.</w:t>
      </w:r>
    </w:p>
    <w:p w14:paraId="7456C786" w14:textId="688D6AE3" w:rsidR="00EE688B" w:rsidRPr="00EE688B" w:rsidRDefault="008013D0" w:rsidP="00EE688B">
      <w:pPr>
        <w:rPr>
          <w:b/>
          <w:bCs/>
        </w:rPr>
      </w:pPr>
      <w:r>
        <w:rPr>
          <w:b/>
          <w:bCs/>
        </w:rPr>
        <w:t xml:space="preserve">Interpretation of Your </w:t>
      </w:r>
      <w:r w:rsidR="00EE688B" w:rsidRPr="00EE688B">
        <w:rPr>
          <w:b/>
          <w:bCs/>
        </w:rPr>
        <w:t>Risk Tolerance Assessment</w:t>
      </w:r>
      <w:r w:rsidR="00C24905">
        <w:rPr>
          <w:b/>
          <w:bCs/>
        </w:rPr>
        <w:t xml:space="preserve"> </w:t>
      </w:r>
    </w:p>
    <w:p w14:paraId="61336E3B" w14:textId="32004215" w:rsidR="00EE304E" w:rsidRDefault="00EE304E" w:rsidP="00EE304E">
      <w:r>
        <w:t>This principle directly applies to the risk tolerance assessment exercise.</w:t>
      </w:r>
    </w:p>
    <w:p w14:paraId="096DD0B9" w14:textId="4D14C98B" w:rsidR="00EE304E" w:rsidRDefault="00EE304E" w:rsidP="00EE304E">
      <w:r>
        <w:t xml:space="preserve">Scenario One: </w:t>
      </w:r>
      <w:r w:rsidR="001224D8" w:rsidRPr="001224D8">
        <w:t>If you select Option B, you are displaying risk aversion, opting for the guaranteed profit by supporting the existing product instead of taking a chance on the updated version. This decision reflects a preference for maintaining stability and avoiding potential uncertainty. Conversely, choosing Option A demonstrates a higher risk tolerance, as you are willing to pursue the possibility of significant rewards despite the risk of failure</w:t>
      </w:r>
      <w:r>
        <w:t>.</w:t>
      </w:r>
    </w:p>
    <w:p w14:paraId="206D70DB" w14:textId="7E3DDEB7" w:rsidR="00EE304E" w:rsidRDefault="00EE304E" w:rsidP="00EE304E">
      <w:r>
        <w:t>Scenario Two: The Prospect Principle sheds light on why individuals may make irrationally risky decisions when facing losses. Choosing the high-risk generative AI product indicates a desire to recover losses quickly, even if it exposes you to greater financial risk. Option II, in contrast, presents a more calculated path, emphasizing certainty and stability over the high-stakes gamble of trying to recoup losses.</w:t>
      </w:r>
    </w:p>
    <w:p w14:paraId="0B9AFDAC" w14:textId="26960426" w:rsidR="004B79B7" w:rsidRDefault="00EE304E" w:rsidP="00EE304E">
      <w:r>
        <w:t>By understanding your inherent risk tolerance, you can recognize your natural inclinations, avoid impulsive decisions, and make more rational choices in uncertain situations.</w:t>
      </w:r>
    </w:p>
    <w:p w14:paraId="0698102C" w14:textId="67323BAB" w:rsidR="00213B0E" w:rsidRDefault="00CA68B8" w:rsidP="00213B0E">
      <w:pPr>
        <w:pStyle w:val="Heading2"/>
      </w:pPr>
      <w:bookmarkStart w:id="15" w:name="_Toc191026911"/>
      <w:bookmarkStart w:id="16" w:name="_Hlk164418964"/>
      <w:r>
        <w:t>S</w:t>
      </w:r>
      <w:r w:rsidR="00BC34BC">
        <w:t xml:space="preserve">ystematic </w:t>
      </w:r>
      <w:r>
        <w:t>F</w:t>
      </w:r>
      <w:r w:rsidR="00BC34BC">
        <w:t xml:space="preserve">ramework for </w:t>
      </w:r>
      <w:r>
        <w:t>D</w:t>
      </w:r>
      <w:r w:rsidR="00BC34BC">
        <w:t>ecision-</w:t>
      </w:r>
      <w:r w:rsidR="003B59D8">
        <w:t>M</w:t>
      </w:r>
      <w:r w:rsidR="00BC34BC">
        <w:t>aking</w:t>
      </w:r>
      <w:bookmarkEnd w:id="15"/>
    </w:p>
    <w:p w14:paraId="5D1F8781" w14:textId="144A7A9B" w:rsidR="00213B0E" w:rsidRDefault="00213B0E" w:rsidP="00213B0E">
      <w:r>
        <w:t xml:space="preserve">Data analytics and human judgment play complementary roles in effective decision-making. While technology generates valuable insights through statistical analysis and AI models, human judgment provides the necessary ethical and strategic context to interpret these insights. A well-structured decision-making framework ensures these elements work together to achieve strategic goals.  The framework consists of three key components:  </w:t>
      </w:r>
    </w:p>
    <w:p w14:paraId="59C523D0" w14:textId="37F1DDCD" w:rsidR="00213B0E" w:rsidRDefault="00213B0E" w:rsidP="00213B0E">
      <w:r>
        <w:lastRenderedPageBreak/>
        <w:t xml:space="preserve">1. Set Clear Goals: Every decision must start with well-defined objectives to provide direction, purpose, and boundaries. Decision-makers should ask: Why is this decision necessary? (Identifies the core problem or opportunity.) What strategic goal does it serve? (Ensures alignment with broader priorities.) How will the decision be made and measured for success? (Establishes scope, criteria, and boundaries.) Who are the key stakeholders, and how will they be impacted? (Clarifies who needs to be involved or considered.) Answering these foundational questions ensures the decision-making process remains focused, strategic, and actionable.  </w:t>
      </w:r>
    </w:p>
    <w:p w14:paraId="270FE63D" w14:textId="187E69F9" w:rsidR="00213B0E" w:rsidRDefault="00213B0E" w:rsidP="00213B0E">
      <w:r>
        <w:t xml:space="preserve">2. Leverage Data Analytics: Analytical tools, such as optimization, simulations, and decision trees, enable decision-makers to objectively evaluate options and quantify risks. Allocating resources for data analytics before applying human judgment mitigates a common fallacy—reaching a conclusion first, then seeking analysis to justify it. Prioritizing data ensures decisions are based on unbiased insights rather than pre-existing assumptions. While analysis takes time, it should be structured to align with the decision timeline rather than delay progress.  </w:t>
      </w:r>
    </w:p>
    <w:p w14:paraId="33FCDC3B" w14:textId="1A76CB31" w:rsidR="00213B0E" w:rsidRDefault="00213B0E" w:rsidP="00213B0E">
      <w:r>
        <w:t>3. Apply Human Judgment: Human judgment contextualizes analytical findings, ensuring decisions are not only rational but also strategically sound.</w:t>
      </w:r>
      <w:r w:rsidRPr="00213B0E">
        <w:t xml:space="preserve"> </w:t>
      </w:r>
      <w:r>
        <w:t xml:space="preserve">While data provides essential insights, decision-making ultimately requires intuition, experience, and risk tolerance. As deadlines approach, decision-makers must confidently synthesize insights and act decisively.  </w:t>
      </w:r>
    </w:p>
    <w:p w14:paraId="0699903D" w14:textId="77777777" w:rsidR="00213B0E" w:rsidRDefault="00213B0E" w:rsidP="00213B0E">
      <w:r>
        <w:t xml:space="preserve">Consistently applying this structured approach sharpens both analytical skills and judgment, leading to clearer evaluations and stronger decision-making over time. Each decision becomes an opportunity to refine the process, improving the ability to assess risks, interpret data, and balance intuition with analysis. A well-structured framework enhances outcomes and builds confidence in navigating complex decisions with clarity and consistency.  </w:t>
      </w:r>
    </w:p>
    <w:p w14:paraId="087734D9" w14:textId="77777777" w:rsidR="000250CB" w:rsidRDefault="00765E38" w:rsidP="00DA3131">
      <w:r w:rsidRPr="00765E38">
        <w:rPr>
          <w:noProof/>
        </w:rPr>
        <w:lastRenderedPageBreak/>
        <w:drawing>
          <wp:inline distT="0" distB="0" distL="0" distR="0" wp14:anchorId="692C2419" wp14:editId="25359873">
            <wp:extent cx="6002655" cy="1328006"/>
            <wp:effectExtent l="0" t="0" r="17145" b="18415"/>
            <wp:docPr id="56265831" name="Diagram 1">
              <a:extLst xmlns:a="http://schemas.openxmlformats.org/drawingml/2006/main">
                <a:ext uri="{FF2B5EF4-FFF2-40B4-BE49-F238E27FC236}">
                  <a16:creationId xmlns:a16="http://schemas.microsoft.com/office/drawing/2014/main" id="{903E2654-77AC-A3D6-E3F1-2FE1587A6C0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4CBE91F" w14:textId="77777777" w:rsidR="000250CB" w:rsidRDefault="000250CB" w:rsidP="00DA3131"/>
    <w:p w14:paraId="1CCFBACA" w14:textId="16CEF09F" w:rsidR="00EE3674" w:rsidRPr="00496BFE" w:rsidRDefault="00EE3674" w:rsidP="00E23B5F">
      <w:pPr>
        <w:spacing w:before="0" w:after="160" w:line="259" w:lineRule="auto"/>
      </w:pPr>
      <w:r>
        <w:br w:type="page"/>
      </w:r>
    </w:p>
    <w:p w14:paraId="7B76CC54" w14:textId="77777777" w:rsidR="00496BFE" w:rsidRDefault="00496BFE" w:rsidP="000250CB">
      <w:pPr>
        <w:pStyle w:val="Title"/>
        <w:jc w:val="center"/>
      </w:pPr>
    </w:p>
    <w:p w14:paraId="18B9AD3F" w14:textId="77777777" w:rsidR="00496BFE" w:rsidRDefault="00496BFE" w:rsidP="000250CB">
      <w:pPr>
        <w:pStyle w:val="Title"/>
        <w:jc w:val="center"/>
      </w:pPr>
    </w:p>
    <w:p w14:paraId="4DF9BF35" w14:textId="77777777" w:rsidR="00496BFE" w:rsidRDefault="00496BFE" w:rsidP="000250CB">
      <w:pPr>
        <w:pStyle w:val="Title"/>
        <w:jc w:val="center"/>
      </w:pPr>
    </w:p>
    <w:p w14:paraId="21CC180F" w14:textId="77777777" w:rsidR="00496BFE" w:rsidRDefault="00496BFE" w:rsidP="000250CB">
      <w:pPr>
        <w:pStyle w:val="Title"/>
        <w:jc w:val="center"/>
      </w:pPr>
    </w:p>
    <w:p w14:paraId="5A31BE79" w14:textId="24E241E2" w:rsidR="001C2D7C" w:rsidRDefault="000250CB" w:rsidP="00E23B5F">
      <w:pPr>
        <w:pStyle w:val="Title"/>
        <w:jc w:val="center"/>
      </w:pPr>
      <w:bookmarkStart w:id="17" w:name="_Toc191026912"/>
      <w:r>
        <w:t>Part I</w:t>
      </w:r>
      <w:r w:rsidR="00E23B5F">
        <w:t>I</w:t>
      </w:r>
      <w:r>
        <w:t xml:space="preserve"> Human Judgment</w:t>
      </w:r>
      <w:bookmarkEnd w:id="17"/>
      <w:r>
        <w:t xml:space="preserve"> </w:t>
      </w:r>
      <w:r w:rsidR="001C2D7C">
        <w:br w:type="page"/>
      </w:r>
    </w:p>
    <w:p w14:paraId="449561D4" w14:textId="77777777" w:rsidR="00DC3340" w:rsidRDefault="001C2D7C" w:rsidP="00B27DBD">
      <w:pPr>
        <w:pStyle w:val="Heading1"/>
      </w:pPr>
      <w:bookmarkStart w:id="18" w:name="_Toc191026913"/>
      <w:bookmarkStart w:id="19" w:name="_Hlk167350632"/>
      <w:bookmarkStart w:id="20" w:name="_Hlk171409585"/>
      <w:bookmarkEnd w:id="2"/>
      <w:bookmarkEnd w:id="7"/>
      <w:bookmarkEnd w:id="16"/>
      <w:r>
        <w:lastRenderedPageBreak/>
        <w:t>Intuitive</w:t>
      </w:r>
      <w:r w:rsidR="00C97EDD">
        <w:t xml:space="preserve"> </w:t>
      </w:r>
      <w:r>
        <w:t>J</w:t>
      </w:r>
      <w:r w:rsidR="00B27DBD">
        <w:t>udgment</w:t>
      </w:r>
      <w:bookmarkEnd w:id="18"/>
    </w:p>
    <w:bookmarkEnd w:id="19"/>
    <w:p w14:paraId="4CD83AD1" w14:textId="77777777" w:rsidR="00010EF5" w:rsidRDefault="00010EF5" w:rsidP="00010EF5">
      <w:r>
        <w:t xml:space="preserve">Intuitive judgment enables individuals to quickly process and respond to complex information based on their past experiences and cognitive shortcuts. Often referred to as “gut feeling” or “instinct,” this type of judgment proves particularly useful when time is limited or evidence is incomplete. However, intuitive judgment is susceptible to various psychological biases that can affect decision quality. </w:t>
      </w:r>
    </w:p>
    <w:p w14:paraId="66DA3C40" w14:textId="047B41E8" w:rsidR="00010EF5" w:rsidRDefault="00A9548F" w:rsidP="00010EF5">
      <w:r w:rsidRPr="00A9548F">
        <w:t xml:space="preserve">These biases—confirmation bias, anchoring, framing, and the representativeness heuristic—are cognitive tendencies that enable quick decisions but can also obstruct the processing of complete and accurate information. In many </w:t>
      </w:r>
      <w:r w:rsidR="009D21CE">
        <w:t>areas of life,</w:t>
      </w:r>
      <w:r w:rsidRPr="00A9548F">
        <w:t xml:space="preserve"> including sales and marketing, these biases are often intentionally leveraged to influence people's choices.</w:t>
      </w:r>
    </w:p>
    <w:p w14:paraId="5D465930" w14:textId="77777777" w:rsidR="00010EF5" w:rsidRDefault="00010EF5" w:rsidP="00D81274">
      <w:pPr>
        <w:pStyle w:val="ListParagraph"/>
        <w:numPr>
          <w:ilvl w:val="0"/>
          <w:numId w:val="50"/>
        </w:numPr>
      </w:pPr>
      <w:r>
        <w:t>Confirmation bias occurs when individuals seek, interpret, and recall information that supports their existing beliefs or hypotheses. For example, someone committed to a specific diet may only remember studies that support its benefits, ignoring evidence to the contrary.</w:t>
      </w:r>
    </w:p>
    <w:p w14:paraId="6ED85C87" w14:textId="77777777" w:rsidR="00010EF5" w:rsidRDefault="00010EF5" w:rsidP="00D81274">
      <w:pPr>
        <w:pStyle w:val="ListParagraph"/>
        <w:numPr>
          <w:ilvl w:val="0"/>
          <w:numId w:val="50"/>
        </w:numPr>
      </w:pPr>
      <w:r>
        <w:t>Anchoring happens when an individual places too much weight on the first piece of information encountered, even if it’s irrelevant. For instance, in a restaurant, the sight of an expensive dish can make other items seem more reasonably priced, even when they are still costly.</w:t>
      </w:r>
    </w:p>
    <w:p w14:paraId="7D629BED" w14:textId="77777777" w:rsidR="00010EF5" w:rsidRDefault="00010EF5" w:rsidP="00D81274">
      <w:pPr>
        <w:pStyle w:val="ListParagraph"/>
        <w:numPr>
          <w:ilvl w:val="0"/>
          <w:numId w:val="50"/>
        </w:numPr>
      </w:pPr>
      <w:r>
        <w:t>Framing refers to how decisions are influenced by the way information is presented. A fitness program, for example, may emphasize that “most users achieved their fitness goals,” rather than highlighting that “40% of users did not achieve their fitness goals,” even though both statements reflect the same outcome.</w:t>
      </w:r>
    </w:p>
    <w:p w14:paraId="4B04E116" w14:textId="482E29C7" w:rsidR="00010EF5" w:rsidRDefault="00010EF5" w:rsidP="00D81274">
      <w:pPr>
        <w:pStyle w:val="ListParagraph"/>
        <w:numPr>
          <w:ilvl w:val="0"/>
          <w:numId w:val="50"/>
        </w:numPr>
      </w:pPr>
      <w:r>
        <w:t>Representativeness heuristic occurs when people judge the likelihood of an event based on its similarity to a familiar prototype or stereotype. For example, a hiring manager might favor a candidate from a prestigious university, assuming they are more likely to be successful, even if other candidates are equally qualified</w:t>
      </w:r>
      <w:r w:rsidR="009D21CE">
        <w:t xml:space="preserve"> for the job.</w:t>
      </w:r>
    </w:p>
    <w:p w14:paraId="434D4D38" w14:textId="0FE568E8" w:rsidR="008006AB" w:rsidRDefault="009D21CE" w:rsidP="009C003E">
      <w:r>
        <w:lastRenderedPageBreak/>
        <w:t>R</w:t>
      </w:r>
      <w:r w:rsidRPr="009D21CE">
        <w:t xml:space="preserve">ecognizing these biases and their impact can help individuals make more </w:t>
      </w:r>
      <w:r>
        <w:t xml:space="preserve">thoughtful </w:t>
      </w:r>
      <w:r w:rsidRPr="009D21CE">
        <w:t xml:space="preserve">choices, </w:t>
      </w:r>
      <w:r w:rsidR="00827F91">
        <w:t>mitigating</w:t>
      </w:r>
      <w:r w:rsidRPr="009D21CE">
        <w:t xml:space="preserve"> the influence of impulse and bias.</w:t>
      </w:r>
    </w:p>
    <w:p w14:paraId="71FD02F7" w14:textId="77777777" w:rsidR="00C10E80" w:rsidRPr="00F52DA3" w:rsidRDefault="00C10E80" w:rsidP="008006AB"/>
    <w:p w14:paraId="3FB09CBF" w14:textId="32194919" w:rsidR="009C003E" w:rsidRPr="009C003E" w:rsidRDefault="008006AB" w:rsidP="009C003E">
      <w:pPr>
        <w:pStyle w:val="Heading2"/>
      </w:pPr>
      <w:bookmarkStart w:id="21" w:name="_Toc191026914"/>
      <w:r>
        <w:t>C</w:t>
      </w:r>
      <w:r w:rsidR="00DC3340">
        <w:t xml:space="preserve">onfirmation </w:t>
      </w:r>
      <w:r w:rsidR="00B27DBD">
        <w:t>Bias</w:t>
      </w:r>
      <w:bookmarkStart w:id="22" w:name="_Hlk166665080"/>
      <w:bookmarkEnd w:id="21"/>
    </w:p>
    <w:p w14:paraId="4FD2E7DB" w14:textId="4F8BB712" w:rsidR="00827F91" w:rsidRPr="00827F91" w:rsidRDefault="00827F91" w:rsidP="00827F91">
      <w:pPr>
        <w:rPr>
          <w:rFonts w:eastAsiaTheme="majorEastAsia"/>
        </w:rPr>
      </w:pPr>
      <w:r w:rsidRPr="00F95BAA">
        <w:rPr>
          <w:rFonts w:eastAsiaTheme="majorEastAsia"/>
        </w:rPr>
        <w:t xml:space="preserve">Confirmation bias refers to the tendency to favor, seek, interpret, and remember information that supports one’s existing beliefs while giving less consideration to opposing viewpoints. </w:t>
      </w:r>
      <w:r w:rsidR="00F8447E" w:rsidRPr="00827F91">
        <w:rPr>
          <w:rFonts w:eastAsiaTheme="majorEastAsia"/>
        </w:rPr>
        <w:t>Th</w:t>
      </w:r>
      <w:r w:rsidR="00F8447E">
        <w:rPr>
          <w:rFonts w:eastAsiaTheme="majorEastAsia"/>
        </w:rPr>
        <w:t>e</w:t>
      </w:r>
      <w:r w:rsidR="00F8447E" w:rsidRPr="00827F91">
        <w:rPr>
          <w:rFonts w:eastAsiaTheme="majorEastAsia"/>
        </w:rPr>
        <w:t xml:space="preserve"> bias leads individual</w:t>
      </w:r>
      <w:r w:rsidRPr="00827F91">
        <w:rPr>
          <w:rFonts w:eastAsiaTheme="majorEastAsia"/>
        </w:rPr>
        <w:t xml:space="preserve"> to selectively gather and recall information, making them more likely to interpret evidence in a way that reinforces their current perspective. As a result, confirmation bias can distort objective analysis and decision-making by limiting the consideration of a balanced perspective and dismissing contradictory information.</w:t>
      </w:r>
    </w:p>
    <w:p w14:paraId="7BD01D61" w14:textId="66962176" w:rsidR="00827F91" w:rsidRPr="00827F91" w:rsidRDefault="00827F91" w:rsidP="00827F91">
      <w:pPr>
        <w:rPr>
          <w:rFonts w:eastAsiaTheme="majorEastAsia"/>
        </w:rPr>
      </w:pPr>
      <w:r w:rsidRPr="00827F91">
        <w:rPr>
          <w:rFonts w:eastAsiaTheme="majorEastAsia"/>
        </w:rPr>
        <w:t>Raymond Nickerson, a professor of psychology at Tufts University, explored confirmation bias in his 1998 article, "Confirmation Bias: A Ubiquitous Phenomenon in Many Guises," published in the Review of General Psychology. Nickerson identified three main ways confirmation bias manifests: biased search for information, biased interpretation, and biased memory or selective recall.</w:t>
      </w:r>
    </w:p>
    <w:p w14:paraId="7A040CE5" w14:textId="77777777" w:rsidR="00827F91" w:rsidRPr="00827F91" w:rsidRDefault="00827F91" w:rsidP="00D81274">
      <w:pPr>
        <w:pStyle w:val="ListParagraph"/>
        <w:numPr>
          <w:ilvl w:val="0"/>
          <w:numId w:val="51"/>
        </w:numPr>
        <w:rPr>
          <w:rFonts w:eastAsiaTheme="majorEastAsia"/>
        </w:rPr>
      </w:pPr>
      <w:r w:rsidRPr="00827F91">
        <w:rPr>
          <w:rFonts w:eastAsiaTheme="majorEastAsia"/>
          <w:b/>
          <w:bCs/>
        </w:rPr>
        <w:t>Biased Search for Information</w:t>
      </w:r>
      <w:r w:rsidRPr="00827F91">
        <w:rPr>
          <w:rFonts w:eastAsiaTheme="majorEastAsia"/>
        </w:rPr>
        <w:t>: People tend to seek out evidence that supports their beliefs while disregarding information that contradicts them. This behavior is evident in contentious debates, such as the discussion on climate change, where individuals or groups selectively collect data that reinforces their viewpoint while dismissing conflicting evidence. This selective search deepens divisions and prevents objective analysis.</w:t>
      </w:r>
    </w:p>
    <w:p w14:paraId="086F945F" w14:textId="1F78AC14" w:rsidR="00827F91" w:rsidRPr="00827F91" w:rsidRDefault="00827F91" w:rsidP="00D81274">
      <w:pPr>
        <w:pStyle w:val="ListParagraph"/>
        <w:numPr>
          <w:ilvl w:val="0"/>
          <w:numId w:val="51"/>
        </w:numPr>
        <w:rPr>
          <w:rFonts w:eastAsiaTheme="majorEastAsia"/>
        </w:rPr>
      </w:pPr>
      <w:r w:rsidRPr="00827F91">
        <w:rPr>
          <w:rFonts w:eastAsiaTheme="majorEastAsia"/>
          <w:b/>
          <w:bCs/>
        </w:rPr>
        <w:t>Biased Interpretation of Information</w:t>
      </w:r>
      <w:r w:rsidRPr="00827F91">
        <w:rPr>
          <w:rFonts w:eastAsiaTheme="majorEastAsia"/>
        </w:rPr>
        <w:t xml:space="preserve">: Even with the same data, individuals may interpret it differently based on their existing beliefs. For instance, when analyzing the success of a marketing campaign, a marketing team might view a slight decline in sales as a temporary setback due to seasonal trends or external factors. Meanwhile, a skeptical financial analyst might </w:t>
      </w:r>
      <w:r w:rsidRPr="00827F91">
        <w:rPr>
          <w:rFonts w:eastAsiaTheme="majorEastAsia"/>
        </w:rPr>
        <w:lastRenderedPageBreak/>
        <w:t>interpret the same data as a signal of the campaign’s failure or the product's inherent weaknesses. In both cases, the interpretations are shaped by the teams’ preexisting beliefs, leading to decisions that reinforce their initial views.</w:t>
      </w:r>
    </w:p>
    <w:p w14:paraId="3B9BB8A2" w14:textId="21690225" w:rsidR="00827F91" w:rsidRPr="00827F91" w:rsidRDefault="00827F91" w:rsidP="00D81274">
      <w:pPr>
        <w:pStyle w:val="ListParagraph"/>
        <w:numPr>
          <w:ilvl w:val="0"/>
          <w:numId w:val="51"/>
        </w:numPr>
        <w:rPr>
          <w:rFonts w:eastAsiaTheme="majorEastAsia"/>
        </w:rPr>
      </w:pPr>
      <w:r w:rsidRPr="00827F91">
        <w:rPr>
          <w:rFonts w:eastAsiaTheme="majorEastAsia"/>
          <w:b/>
          <w:bCs/>
        </w:rPr>
        <w:t>Biased Memory or Selective Recall</w:t>
      </w:r>
      <w:r w:rsidRPr="00827F91">
        <w:rPr>
          <w:rFonts w:eastAsiaTheme="majorEastAsia"/>
        </w:rPr>
        <w:t xml:space="preserve">: </w:t>
      </w:r>
      <w:r w:rsidR="001F2689" w:rsidRPr="001F2689">
        <w:rPr>
          <w:rFonts w:eastAsiaTheme="majorEastAsia"/>
        </w:rPr>
        <w:t>Confirmation bias also affects how we remember past events. People often recall information that aligns with their beliefs or expectations, while forgetting or downplaying information that contradicts them. For example, when reflecting on a vacation, a person with a negative outlook might only remember the travel glitches, delays, or moments when things didn’t go as planned, while forgetting the enjoyable activities and beautiful sights. This selective memory can make the trip seem more disappointing than it actually was, influencing future decisions—like whether or not to take another vacation—based on an inaccurate perception</w:t>
      </w:r>
      <w:r w:rsidRPr="00827F91">
        <w:rPr>
          <w:rFonts w:eastAsiaTheme="majorEastAsia"/>
        </w:rPr>
        <w:t>.</w:t>
      </w:r>
    </w:p>
    <w:p w14:paraId="68EAA624" w14:textId="77777777" w:rsidR="001F2689" w:rsidRPr="001F2689" w:rsidRDefault="001F2689" w:rsidP="001F2689">
      <w:pPr>
        <w:rPr>
          <w:rFonts w:eastAsiaTheme="majorEastAsia"/>
          <w:b/>
          <w:bCs/>
        </w:rPr>
      </w:pPr>
      <w:r w:rsidRPr="001F2689">
        <w:rPr>
          <w:rFonts w:eastAsiaTheme="majorEastAsia"/>
          <w:b/>
          <w:bCs/>
        </w:rPr>
        <w:t>Confirmation Bias in Group Settings</w:t>
      </w:r>
    </w:p>
    <w:p w14:paraId="11D75A70" w14:textId="39D7A31F" w:rsidR="001E5C58" w:rsidRPr="001E5C58" w:rsidRDefault="001E5C58" w:rsidP="001E5C58">
      <w:pPr>
        <w:rPr>
          <w:rFonts w:eastAsiaTheme="majorEastAsia"/>
        </w:rPr>
      </w:pPr>
      <w:r w:rsidRPr="001E5C58">
        <w:rPr>
          <w:rFonts w:eastAsiaTheme="majorEastAsia"/>
        </w:rPr>
        <w:t>Confirmation bias becomes especially influential in group settings, where dynamics of influence and persuasion can amplify biases. When an influential leader or a vocal group member expresses a particular view, others may unconsciously align with that perspective, reinforcing the initial belief. This bias can be particularly problematic as it suppresses dissenting opinions, discourages objective evaluation, and distorts the group’s decision-making process.</w:t>
      </w:r>
    </w:p>
    <w:p w14:paraId="7BA48852" w14:textId="2099C131" w:rsidR="001E5C58" w:rsidRPr="001E5C58" w:rsidRDefault="001E5C58" w:rsidP="001E5C58">
      <w:pPr>
        <w:rPr>
          <w:rFonts w:eastAsiaTheme="majorEastAsia"/>
        </w:rPr>
      </w:pPr>
      <w:r w:rsidRPr="001E5C58">
        <w:rPr>
          <w:rFonts w:eastAsiaTheme="majorEastAsia"/>
        </w:rPr>
        <w:t xml:space="preserve">For example, during a corporate strategy meeting, a senior executive might emphasize the benefits of pursuing a high-risk investment, citing only the success stories of similar ventures. The team members, eager to support the leader’s vision, might focus only on the positive aspects, ignoring potential risks or past failures in similar investments. As the conversation progresses, more members may start to align with the senior executive’s view, even though the evidence may not fully support it. Ultimately, the </w:t>
      </w:r>
      <w:r w:rsidRPr="001E5C58">
        <w:rPr>
          <w:rFonts w:eastAsiaTheme="majorEastAsia"/>
        </w:rPr>
        <w:lastRenderedPageBreak/>
        <w:t>group might make a decision based on an overly optimistic outlook, potentially leading to significant losses.</w:t>
      </w:r>
    </w:p>
    <w:p w14:paraId="298EA027" w14:textId="02A91E6A" w:rsidR="001F2689" w:rsidRDefault="001E5C58" w:rsidP="001E5C58">
      <w:pPr>
        <w:rPr>
          <w:rFonts w:eastAsiaTheme="majorEastAsia"/>
        </w:rPr>
      </w:pPr>
      <w:r w:rsidRPr="001E5C58">
        <w:rPr>
          <w:rFonts w:eastAsiaTheme="majorEastAsia"/>
        </w:rPr>
        <w:t>This collective confirmation bias is also observable in areas like politics, where leaders and their followers often selectively interpret or emphasize information that supports their views. This dynamic can create an echo chamber, reinforcing existing biases and hindering objective discussion</w:t>
      </w:r>
      <w:r w:rsidR="001F2689">
        <w:rPr>
          <w:rFonts w:eastAsiaTheme="majorEastAsia"/>
        </w:rPr>
        <w:t xml:space="preserve">. </w:t>
      </w:r>
    </w:p>
    <w:p w14:paraId="037972C0" w14:textId="77777777" w:rsidR="001F2689" w:rsidRDefault="001F2689" w:rsidP="009C003E">
      <w:pPr>
        <w:rPr>
          <w:rFonts w:eastAsiaTheme="majorEastAsia"/>
        </w:rPr>
      </w:pPr>
    </w:p>
    <w:bookmarkEnd w:id="22"/>
    <w:p w14:paraId="7F161C7A" w14:textId="36436C9F" w:rsidR="00762BAB" w:rsidRPr="00762BAB" w:rsidRDefault="00762BAB" w:rsidP="00C669CF">
      <w:pPr>
        <w:pStyle w:val="Heading3"/>
      </w:pPr>
      <w:r w:rsidRPr="00762BAB">
        <w:t>Overcom</w:t>
      </w:r>
      <w:r w:rsidR="006C27C2">
        <w:t>e</w:t>
      </w:r>
      <w:r w:rsidRPr="00762BAB">
        <w:t xml:space="preserve"> Confirmation Bias</w:t>
      </w:r>
    </w:p>
    <w:p w14:paraId="5D1FA3E5" w14:textId="660D40C8" w:rsidR="003C5ADF" w:rsidRPr="003C5ADF" w:rsidRDefault="003C5ADF" w:rsidP="003C5ADF">
      <w:pPr>
        <w:rPr>
          <w:rFonts w:eastAsiaTheme="majorEastAsia"/>
        </w:rPr>
      </w:pPr>
      <w:r w:rsidRPr="003C5ADF">
        <w:rPr>
          <w:rFonts w:eastAsiaTheme="majorEastAsia"/>
        </w:rPr>
        <w:t xml:space="preserve">To overcome confirmation bias, individuals must recognize its influence and adopt strategies that promote rational thinking. In Thinking, </w:t>
      </w:r>
      <w:r w:rsidRPr="003C5ADF">
        <w:rPr>
          <w:rFonts w:eastAsiaTheme="majorEastAsia"/>
          <w:i/>
          <w:iCs/>
        </w:rPr>
        <w:t>Fast and Slow</w:t>
      </w:r>
      <w:r w:rsidRPr="003C5ADF">
        <w:rPr>
          <w:rFonts w:eastAsiaTheme="majorEastAsia"/>
        </w:rPr>
        <w:t>, Daniel Kahneman suggests that deliberate reasoning can counteract the intuitive processes that drive confirmation bias. By consciously engaging in rational thinking, individuals can challenge their preexisting beliefs and interpretations.</w:t>
      </w:r>
    </w:p>
    <w:p w14:paraId="127E560C" w14:textId="257B1DE3" w:rsidR="003C5ADF" w:rsidRPr="003C5ADF" w:rsidRDefault="003C5ADF" w:rsidP="003C5ADF">
      <w:pPr>
        <w:rPr>
          <w:rFonts w:eastAsiaTheme="majorEastAsia"/>
        </w:rPr>
      </w:pPr>
      <w:r w:rsidRPr="003C5ADF">
        <w:rPr>
          <w:rFonts w:eastAsiaTheme="majorEastAsia"/>
        </w:rPr>
        <w:t>One effective approach is to reframe binary decisions by asking open-ended questions that encourage objective evaluation. For example:</w:t>
      </w:r>
    </w:p>
    <w:p w14:paraId="0A651324" w14:textId="3B83948C" w:rsidR="003C5ADF" w:rsidRPr="003C5ADF" w:rsidRDefault="003C5ADF" w:rsidP="003C5ADF">
      <w:pPr>
        <w:rPr>
          <w:rFonts w:eastAsiaTheme="majorEastAsia"/>
        </w:rPr>
      </w:pPr>
      <w:r w:rsidRPr="003C5ADF">
        <w:rPr>
          <w:rFonts w:eastAsiaTheme="majorEastAsia"/>
        </w:rPr>
        <w:t>To validate the decision-making process, ask:</w:t>
      </w:r>
    </w:p>
    <w:p w14:paraId="7DBD48E9" w14:textId="77777777" w:rsidR="003C5ADF" w:rsidRPr="003C5ADF" w:rsidRDefault="003C5ADF" w:rsidP="00D81274">
      <w:pPr>
        <w:pStyle w:val="ListParagraph"/>
        <w:numPr>
          <w:ilvl w:val="0"/>
          <w:numId w:val="52"/>
        </w:numPr>
        <w:rPr>
          <w:rFonts w:eastAsiaTheme="majorEastAsia"/>
        </w:rPr>
      </w:pPr>
      <w:r w:rsidRPr="003C5ADF">
        <w:rPr>
          <w:rFonts w:eastAsiaTheme="majorEastAsia"/>
        </w:rPr>
        <w:t>What assumptions are we making, and how can we verify them?</w:t>
      </w:r>
    </w:p>
    <w:p w14:paraId="26B3B59E" w14:textId="1B55AE75" w:rsidR="003C5ADF" w:rsidRPr="003C5ADF" w:rsidRDefault="003C5ADF" w:rsidP="00D81274">
      <w:pPr>
        <w:pStyle w:val="ListParagraph"/>
        <w:numPr>
          <w:ilvl w:val="0"/>
          <w:numId w:val="52"/>
        </w:numPr>
        <w:rPr>
          <w:rFonts w:eastAsiaTheme="majorEastAsia"/>
        </w:rPr>
      </w:pPr>
      <w:r>
        <w:rPr>
          <w:rFonts w:eastAsiaTheme="majorEastAsia"/>
        </w:rPr>
        <w:t>H</w:t>
      </w:r>
      <w:r w:rsidRPr="003C5ADF">
        <w:rPr>
          <w:rFonts w:eastAsiaTheme="majorEastAsia"/>
        </w:rPr>
        <w:t>ave we considered both supporting and contradicting evidence?</w:t>
      </w:r>
    </w:p>
    <w:p w14:paraId="03CBA53A" w14:textId="4112865C" w:rsidR="003C5ADF" w:rsidRPr="003C5ADF" w:rsidRDefault="003C5ADF" w:rsidP="00D81274">
      <w:pPr>
        <w:pStyle w:val="ListParagraph"/>
        <w:numPr>
          <w:ilvl w:val="0"/>
          <w:numId w:val="52"/>
        </w:numPr>
        <w:rPr>
          <w:rFonts w:eastAsiaTheme="majorEastAsia"/>
        </w:rPr>
      </w:pPr>
      <w:r w:rsidRPr="003C5ADF">
        <w:rPr>
          <w:rFonts w:eastAsiaTheme="majorEastAsia"/>
        </w:rPr>
        <w:t>Do we have enough time for a thorough evaluation?</w:t>
      </w:r>
    </w:p>
    <w:p w14:paraId="0AF96A1E" w14:textId="2CF43747" w:rsidR="003C5ADF" w:rsidRPr="003C5ADF" w:rsidRDefault="003C5ADF" w:rsidP="003C5ADF">
      <w:pPr>
        <w:rPr>
          <w:rFonts w:eastAsiaTheme="majorEastAsia"/>
        </w:rPr>
      </w:pPr>
      <w:r w:rsidRPr="003C5ADF">
        <w:rPr>
          <w:rFonts w:eastAsiaTheme="majorEastAsia"/>
        </w:rPr>
        <w:t>To enhance critical reasoning, ask:</w:t>
      </w:r>
    </w:p>
    <w:p w14:paraId="1D68A9F6" w14:textId="77777777" w:rsidR="003C5ADF" w:rsidRPr="003C5ADF" w:rsidRDefault="003C5ADF" w:rsidP="00D81274">
      <w:pPr>
        <w:pStyle w:val="ListParagraph"/>
        <w:numPr>
          <w:ilvl w:val="0"/>
          <w:numId w:val="53"/>
        </w:numPr>
        <w:rPr>
          <w:rFonts w:eastAsiaTheme="majorEastAsia"/>
        </w:rPr>
      </w:pPr>
      <w:r w:rsidRPr="003C5ADF">
        <w:rPr>
          <w:rFonts w:eastAsiaTheme="majorEastAsia"/>
        </w:rPr>
        <w:t>What are the potential long-term impacts of this decision?</w:t>
      </w:r>
    </w:p>
    <w:p w14:paraId="534D0A86" w14:textId="77777777" w:rsidR="003C5ADF" w:rsidRPr="003C5ADF" w:rsidRDefault="003C5ADF" w:rsidP="00D81274">
      <w:pPr>
        <w:pStyle w:val="ListParagraph"/>
        <w:numPr>
          <w:ilvl w:val="0"/>
          <w:numId w:val="53"/>
        </w:numPr>
        <w:rPr>
          <w:rFonts w:eastAsiaTheme="majorEastAsia"/>
        </w:rPr>
      </w:pPr>
      <w:r w:rsidRPr="003C5ADF">
        <w:rPr>
          <w:rFonts w:eastAsiaTheme="majorEastAsia"/>
        </w:rPr>
        <w:t>Have we consulted experts or individuals with differing viewpoints?</w:t>
      </w:r>
    </w:p>
    <w:p w14:paraId="4D998D72" w14:textId="050C54AF" w:rsidR="003C5ADF" w:rsidRPr="003C5ADF" w:rsidRDefault="003C5ADF" w:rsidP="00D81274">
      <w:pPr>
        <w:pStyle w:val="ListParagraph"/>
        <w:numPr>
          <w:ilvl w:val="0"/>
          <w:numId w:val="53"/>
        </w:numPr>
        <w:rPr>
          <w:rFonts w:eastAsiaTheme="majorEastAsia"/>
        </w:rPr>
      </w:pPr>
      <w:r w:rsidRPr="003C5ADF">
        <w:rPr>
          <w:rFonts w:eastAsiaTheme="majorEastAsia"/>
        </w:rPr>
        <w:t xml:space="preserve">How might someone with an opposing </w:t>
      </w:r>
      <w:r>
        <w:rPr>
          <w:rFonts w:eastAsiaTheme="majorEastAsia"/>
        </w:rPr>
        <w:t>viewpoint</w:t>
      </w:r>
      <w:r w:rsidRPr="003C5ADF">
        <w:rPr>
          <w:rFonts w:eastAsiaTheme="majorEastAsia"/>
        </w:rPr>
        <w:t xml:space="preserve"> evaluate this decision?</w:t>
      </w:r>
    </w:p>
    <w:p w14:paraId="26D7D41D" w14:textId="1C3CAC66" w:rsidR="00827F91" w:rsidRDefault="003C5ADF" w:rsidP="00827F91">
      <w:pPr>
        <w:rPr>
          <w:rFonts w:eastAsiaTheme="majorEastAsia"/>
        </w:rPr>
      </w:pPr>
      <w:r w:rsidRPr="003C5ADF">
        <w:rPr>
          <w:rFonts w:eastAsiaTheme="majorEastAsia"/>
        </w:rPr>
        <w:lastRenderedPageBreak/>
        <w:t>These questions foster a more balanced assessment</w:t>
      </w:r>
      <w:r>
        <w:rPr>
          <w:rFonts w:eastAsiaTheme="majorEastAsia"/>
        </w:rPr>
        <w:t xml:space="preserve">, </w:t>
      </w:r>
      <w:r w:rsidRPr="003C5ADF">
        <w:rPr>
          <w:rFonts w:eastAsiaTheme="majorEastAsia"/>
        </w:rPr>
        <w:t>uncover overlooked factors and challenge assumptions</w:t>
      </w:r>
      <w:r w:rsidR="00827F91" w:rsidRPr="00827F91">
        <w:rPr>
          <w:rFonts w:eastAsiaTheme="majorEastAsia"/>
        </w:rPr>
        <w:t>.</w:t>
      </w:r>
    </w:p>
    <w:p w14:paraId="35A8A727" w14:textId="37B71534" w:rsidR="006C3881" w:rsidRPr="00DF7F35" w:rsidRDefault="00C669CF" w:rsidP="006C3881">
      <w:pPr>
        <w:pStyle w:val="Heading3"/>
      </w:pPr>
      <w:r w:rsidRPr="00CE09C4">
        <w:t xml:space="preserve">Business Case: </w:t>
      </w:r>
      <w:r w:rsidR="006C3881" w:rsidRPr="00DF7F35">
        <w:t>Confirmation Bias in the Fossil Fuel Industry's Response to Climate Change</w:t>
      </w:r>
    </w:p>
    <w:p w14:paraId="756A025A" w14:textId="44A531A9" w:rsidR="006C3881" w:rsidRPr="006C3881" w:rsidRDefault="0005252D" w:rsidP="006C3881">
      <w:pPr>
        <w:rPr>
          <w:rFonts w:eastAsiaTheme="majorEastAsia"/>
          <w:color w:val="000000" w:themeColor="text1"/>
        </w:rPr>
      </w:pPr>
      <w:r w:rsidRPr="0005252D">
        <w:rPr>
          <w:rFonts w:eastAsiaTheme="majorEastAsia"/>
          <w:color w:val="000000" w:themeColor="text1"/>
        </w:rPr>
        <w:t>Major oil and gas companies, particularly those in the U.S. and the Middle East, have faced criticism for their response to climate change. Their decisions often reflect confirmation bias, where leaders selectively interpret information to preserve business models reliant on fossil fuels. In contrast, some European firms have embraced renewable energy, driven by financial incentives and regulatory pressures</w:t>
      </w:r>
      <w:r w:rsidR="006C3881" w:rsidRPr="006C3881">
        <w:rPr>
          <w:rFonts w:eastAsiaTheme="majorEastAsia"/>
          <w:color w:val="000000" w:themeColor="text1"/>
        </w:rPr>
        <w:t>.</w:t>
      </w:r>
    </w:p>
    <w:p w14:paraId="7EE92F2D" w14:textId="77777777" w:rsidR="006C3881" w:rsidRPr="00DF7F35" w:rsidRDefault="006C3881" w:rsidP="006C3881">
      <w:pPr>
        <w:rPr>
          <w:rFonts w:eastAsiaTheme="majorEastAsia"/>
          <w:b/>
          <w:bCs/>
          <w:color w:val="000000" w:themeColor="text1"/>
        </w:rPr>
      </w:pPr>
      <w:r w:rsidRPr="00DF7F35">
        <w:rPr>
          <w:rFonts w:eastAsiaTheme="majorEastAsia"/>
          <w:b/>
          <w:bCs/>
          <w:color w:val="000000" w:themeColor="text1"/>
        </w:rPr>
        <w:t>Confirmation Bias Among Fossil Fuel Producers (U.S. &amp; Middle East)</w:t>
      </w:r>
    </w:p>
    <w:p w14:paraId="75320314" w14:textId="66145B15" w:rsidR="00DF7F35" w:rsidRPr="00DF7F35" w:rsidRDefault="00DF7F35" w:rsidP="00DF7F35">
      <w:pPr>
        <w:rPr>
          <w:rFonts w:eastAsiaTheme="majorEastAsia"/>
          <w:color w:val="000000" w:themeColor="text1"/>
        </w:rPr>
      </w:pPr>
      <w:r w:rsidRPr="00DF7F35">
        <w:rPr>
          <w:rFonts w:eastAsiaTheme="majorEastAsia"/>
          <w:color w:val="000000" w:themeColor="text1"/>
        </w:rPr>
        <w:t xml:space="preserve">Biased Information Seeking: </w:t>
      </w:r>
      <w:r w:rsidR="0005252D" w:rsidRPr="0005252D">
        <w:rPr>
          <w:rFonts w:eastAsiaTheme="majorEastAsia"/>
          <w:color w:val="000000" w:themeColor="text1"/>
        </w:rPr>
        <w:t>U.S. and Middle Eastern companies have often prioritized research that downplays the urgency of climate change, funding studies that question climate models. This approach allowed these companies to continue expanding fossil fuel operations, despite mounting evidence of climate risks</w:t>
      </w:r>
      <w:sdt>
        <w:sdtPr>
          <w:rPr>
            <w:rFonts w:eastAsiaTheme="majorEastAsia"/>
            <w:color w:val="000000" w:themeColor="text1"/>
          </w:rPr>
          <w:id w:val="1245371905"/>
          <w:citation/>
        </w:sdtPr>
        <w:sdtContent>
          <w:r w:rsidR="001771C8">
            <w:rPr>
              <w:rFonts w:eastAsiaTheme="majorEastAsia"/>
              <w:color w:val="000000" w:themeColor="text1"/>
            </w:rPr>
            <w:fldChar w:fldCharType="begin"/>
          </w:r>
          <w:r w:rsidR="001771C8">
            <w:rPr>
              <w:rFonts w:eastAsiaTheme="majorEastAsia"/>
              <w:color w:val="000000" w:themeColor="text1"/>
            </w:rPr>
            <w:instrText xml:space="preserve"> CITATION Smi \l 1033 </w:instrText>
          </w:r>
          <w:r w:rsidR="001771C8">
            <w:rPr>
              <w:rFonts w:eastAsiaTheme="majorEastAsia"/>
              <w:color w:val="000000" w:themeColor="text1"/>
            </w:rPr>
            <w:fldChar w:fldCharType="separate"/>
          </w:r>
          <w:r w:rsidR="001771C8">
            <w:rPr>
              <w:rFonts w:eastAsiaTheme="majorEastAsia"/>
              <w:noProof/>
              <w:color w:val="000000" w:themeColor="text1"/>
            </w:rPr>
            <w:t xml:space="preserve"> </w:t>
          </w:r>
          <w:r w:rsidR="001771C8" w:rsidRPr="001771C8">
            <w:rPr>
              <w:rFonts w:eastAsiaTheme="majorEastAsia"/>
              <w:noProof/>
              <w:color w:val="000000" w:themeColor="text1"/>
            </w:rPr>
            <w:t>(Smith, 2021)</w:t>
          </w:r>
          <w:r w:rsidR="001771C8">
            <w:rPr>
              <w:rFonts w:eastAsiaTheme="majorEastAsia"/>
              <w:color w:val="000000" w:themeColor="text1"/>
            </w:rPr>
            <w:fldChar w:fldCharType="end"/>
          </w:r>
        </w:sdtContent>
      </w:sdt>
      <w:r w:rsidRPr="00DF7F35">
        <w:rPr>
          <w:rFonts w:eastAsiaTheme="majorEastAsia"/>
          <w:color w:val="000000" w:themeColor="text1"/>
        </w:rPr>
        <w:t>.</w:t>
      </w:r>
    </w:p>
    <w:p w14:paraId="1AAD0F94" w14:textId="688ECFCB" w:rsidR="00DF7F35" w:rsidRPr="00DF7F35" w:rsidRDefault="00DF7F35" w:rsidP="00DF7F35">
      <w:pPr>
        <w:rPr>
          <w:rFonts w:eastAsiaTheme="majorEastAsia"/>
          <w:color w:val="000000" w:themeColor="text1"/>
        </w:rPr>
      </w:pPr>
      <w:r w:rsidRPr="00DF7F35">
        <w:rPr>
          <w:rFonts w:eastAsiaTheme="majorEastAsia"/>
          <w:color w:val="000000" w:themeColor="text1"/>
        </w:rPr>
        <w:t xml:space="preserve">Biased Information Interpretation: </w:t>
      </w:r>
      <w:r w:rsidR="0005252D" w:rsidRPr="0005252D">
        <w:rPr>
          <w:rFonts w:eastAsiaTheme="majorEastAsia"/>
          <w:color w:val="000000" w:themeColor="text1"/>
        </w:rPr>
        <w:t>Even when faced with internal reports acknowledging climate risks, executives minimized their relevance, focusing on uncertainties in climate change predictions. This led to delayed industry transitions, unlike the more proactive moves in Europ</w:t>
      </w:r>
      <w:r w:rsidR="0005252D">
        <w:rPr>
          <w:rFonts w:eastAsiaTheme="majorEastAsia"/>
          <w:color w:val="000000" w:themeColor="text1"/>
        </w:rPr>
        <w:t xml:space="preserve">e </w:t>
      </w:r>
      <w:sdt>
        <w:sdtPr>
          <w:rPr>
            <w:rFonts w:eastAsiaTheme="majorEastAsia"/>
            <w:color w:val="000000" w:themeColor="text1"/>
          </w:rPr>
          <w:id w:val="-210806897"/>
          <w:citation/>
        </w:sdtPr>
        <w:sdtContent>
          <w:r w:rsidR="001771C8">
            <w:rPr>
              <w:rFonts w:eastAsiaTheme="majorEastAsia"/>
              <w:color w:val="000000" w:themeColor="text1"/>
            </w:rPr>
            <w:fldChar w:fldCharType="begin"/>
          </w:r>
          <w:r w:rsidR="001771C8">
            <w:rPr>
              <w:rFonts w:eastAsiaTheme="majorEastAsia"/>
              <w:color w:val="000000" w:themeColor="text1"/>
              <w:vertAlign w:val="superscript"/>
            </w:rPr>
            <w:instrText xml:space="preserve"> CITATION Jon20 \l 1033 </w:instrText>
          </w:r>
          <w:r w:rsidR="001771C8">
            <w:rPr>
              <w:rFonts w:eastAsiaTheme="majorEastAsia"/>
              <w:color w:val="000000" w:themeColor="text1"/>
            </w:rPr>
            <w:fldChar w:fldCharType="separate"/>
          </w:r>
          <w:r w:rsidR="001771C8" w:rsidRPr="001771C8">
            <w:rPr>
              <w:rFonts w:eastAsiaTheme="majorEastAsia"/>
              <w:noProof/>
              <w:color w:val="000000" w:themeColor="text1"/>
            </w:rPr>
            <w:t>(Jones, 2020)</w:t>
          </w:r>
          <w:r w:rsidR="001771C8">
            <w:rPr>
              <w:rFonts w:eastAsiaTheme="majorEastAsia"/>
              <w:color w:val="000000" w:themeColor="text1"/>
            </w:rPr>
            <w:fldChar w:fldCharType="end"/>
          </w:r>
        </w:sdtContent>
      </w:sdt>
    </w:p>
    <w:p w14:paraId="5206F7A9" w14:textId="365EC133" w:rsidR="00DF7F35" w:rsidRDefault="00DF7F35" w:rsidP="00DF7F35">
      <w:pPr>
        <w:rPr>
          <w:rFonts w:eastAsiaTheme="majorEastAsia"/>
          <w:color w:val="000000" w:themeColor="text1"/>
        </w:rPr>
      </w:pPr>
      <w:r w:rsidRPr="00DF7F35">
        <w:rPr>
          <w:rFonts w:eastAsiaTheme="majorEastAsia"/>
          <w:color w:val="000000" w:themeColor="text1"/>
        </w:rPr>
        <w:t xml:space="preserve">Biased Information Recall: </w:t>
      </w:r>
      <w:r w:rsidR="005951BA" w:rsidRPr="005951BA">
        <w:rPr>
          <w:rFonts w:eastAsiaTheme="majorEastAsia"/>
          <w:color w:val="000000" w:themeColor="text1"/>
        </w:rPr>
        <w:t>These companies emphasized their green initiatives, like renewable energy projects, while downplaying the environmental impact of continued fossil fuel investments. This selective recall created a perception of environmental responsibility without addressing the full scope of their operations</w:t>
      </w:r>
      <w:sdt>
        <w:sdtPr>
          <w:rPr>
            <w:rFonts w:eastAsiaTheme="majorEastAsia"/>
            <w:color w:val="000000" w:themeColor="text1"/>
          </w:rPr>
          <w:id w:val="-251671439"/>
          <w:citation/>
        </w:sdtPr>
        <w:sdtContent>
          <w:r w:rsidR="001771C8">
            <w:rPr>
              <w:rFonts w:eastAsiaTheme="majorEastAsia"/>
              <w:color w:val="000000" w:themeColor="text1"/>
            </w:rPr>
            <w:fldChar w:fldCharType="begin"/>
          </w:r>
          <w:r w:rsidR="001771C8">
            <w:rPr>
              <w:rFonts w:eastAsiaTheme="majorEastAsia"/>
              <w:color w:val="000000" w:themeColor="text1"/>
            </w:rPr>
            <w:instrText xml:space="preserve"> CITATION Doe19 \l 1033 </w:instrText>
          </w:r>
          <w:r w:rsidR="001771C8">
            <w:rPr>
              <w:rFonts w:eastAsiaTheme="majorEastAsia"/>
              <w:color w:val="000000" w:themeColor="text1"/>
            </w:rPr>
            <w:fldChar w:fldCharType="separate"/>
          </w:r>
          <w:r w:rsidR="001771C8">
            <w:rPr>
              <w:rFonts w:eastAsiaTheme="majorEastAsia"/>
              <w:noProof/>
              <w:color w:val="000000" w:themeColor="text1"/>
            </w:rPr>
            <w:t xml:space="preserve"> </w:t>
          </w:r>
          <w:r w:rsidR="001771C8" w:rsidRPr="001771C8">
            <w:rPr>
              <w:rFonts w:eastAsiaTheme="majorEastAsia"/>
              <w:noProof/>
              <w:color w:val="000000" w:themeColor="text1"/>
            </w:rPr>
            <w:t>(Doe, 2019)</w:t>
          </w:r>
          <w:r w:rsidR="001771C8">
            <w:rPr>
              <w:rFonts w:eastAsiaTheme="majorEastAsia"/>
              <w:color w:val="000000" w:themeColor="text1"/>
            </w:rPr>
            <w:fldChar w:fldCharType="end"/>
          </w:r>
        </w:sdtContent>
      </w:sdt>
      <w:r w:rsidRPr="00DF7F35">
        <w:rPr>
          <w:rFonts w:eastAsiaTheme="majorEastAsia"/>
          <w:color w:val="000000" w:themeColor="text1"/>
        </w:rPr>
        <w:t>.</w:t>
      </w:r>
    </w:p>
    <w:p w14:paraId="2CA742F5" w14:textId="1A4B3363" w:rsidR="001771C8" w:rsidRPr="00303F2B" w:rsidRDefault="00303F2B" w:rsidP="001771C8">
      <w:pPr>
        <w:rPr>
          <w:rFonts w:eastAsiaTheme="majorEastAsia"/>
          <w:b/>
          <w:bCs/>
          <w:color w:val="000000" w:themeColor="text1"/>
        </w:rPr>
      </w:pPr>
      <w:r w:rsidRPr="00303F2B">
        <w:rPr>
          <w:rFonts w:eastAsiaTheme="majorEastAsia"/>
          <w:b/>
          <w:bCs/>
          <w:color w:val="000000" w:themeColor="text1"/>
        </w:rPr>
        <w:t>A Different Perspective: European Energy Firms</w:t>
      </w:r>
    </w:p>
    <w:p w14:paraId="27C08B72" w14:textId="573DB360" w:rsidR="001771C8" w:rsidRPr="001771C8" w:rsidRDefault="001771C8" w:rsidP="001771C8">
      <w:pPr>
        <w:rPr>
          <w:rFonts w:eastAsiaTheme="majorEastAsia"/>
          <w:color w:val="000000" w:themeColor="text1"/>
        </w:rPr>
      </w:pPr>
      <w:r w:rsidRPr="001771C8">
        <w:rPr>
          <w:rFonts w:eastAsiaTheme="majorEastAsia"/>
          <w:color w:val="000000" w:themeColor="text1"/>
        </w:rPr>
        <w:lastRenderedPageBreak/>
        <w:t xml:space="preserve">Proactive Adaptation to Climate Change: </w:t>
      </w:r>
      <w:r w:rsidR="005951BA" w:rsidRPr="005951BA">
        <w:rPr>
          <w:rFonts w:eastAsiaTheme="majorEastAsia"/>
          <w:color w:val="000000" w:themeColor="text1"/>
        </w:rPr>
        <w:t>Many European companies have embraced renewable energy, investing in solar, wind, and hydrogen technologies. Regulatory pressures and incentives, like the EU's goal for carbon neutrality by 2050, have motivated these companies to rethink their long-term strategies</w:t>
      </w:r>
      <w:sdt>
        <w:sdtPr>
          <w:rPr>
            <w:rFonts w:eastAsiaTheme="majorEastAsia"/>
            <w:color w:val="000000" w:themeColor="text1"/>
          </w:rPr>
          <w:id w:val="849070114"/>
          <w:citation/>
        </w:sdtPr>
        <w:sdtContent>
          <w:r>
            <w:rPr>
              <w:rFonts w:eastAsiaTheme="majorEastAsia"/>
              <w:color w:val="000000" w:themeColor="text1"/>
            </w:rPr>
            <w:fldChar w:fldCharType="begin"/>
          </w:r>
          <w:r>
            <w:rPr>
              <w:rFonts w:eastAsiaTheme="majorEastAsia"/>
              <w:color w:val="000000" w:themeColor="text1"/>
            </w:rPr>
            <w:instrText xml:space="preserve"> CITATION Eur21 \l 1033 </w:instrText>
          </w:r>
          <w:r>
            <w:rPr>
              <w:rFonts w:eastAsiaTheme="majorEastAsia"/>
              <w:color w:val="000000" w:themeColor="text1"/>
            </w:rPr>
            <w:fldChar w:fldCharType="separate"/>
          </w:r>
          <w:r>
            <w:rPr>
              <w:rFonts w:eastAsiaTheme="majorEastAsia"/>
              <w:noProof/>
              <w:color w:val="000000" w:themeColor="text1"/>
            </w:rPr>
            <w:t xml:space="preserve"> </w:t>
          </w:r>
          <w:r w:rsidRPr="001771C8">
            <w:rPr>
              <w:rFonts w:eastAsiaTheme="majorEastAsia"/>
              <w:noProof/>
              <w:color w:val="000000" w:themeColor="text1"/>
            </w:rPr>
            <w:t>(European Commission, 2021)</w:t>
          </w:r>
          <w:r>
            <w:rPr>
              <w:rFonts w:eastAsiaTheme="majorEastAsia"/>
              <w:color w:val="000000" w:themeColor="text1"/>
            </w:rPr>
            <w:fldChar w:fldCharType="end"/>
          </w:r>
        </w:sdtContent>
      </w:sdt>
      <w:r w:rsidRPr="001771C8">
        <w:rPr>
          <w:rFonts w:eastAsiaTheme="majorEastAsia"/>
          <w:color w:val="000000" w:themeColor="text1"/>
        </w:rPr>
        <w:t>.</w:t>
      </w:r>
    </w:p>
    <w:p w14:paraId="3AEDE7D6" w14:textId="2D5A2795" w:rsidR="001771C8" w:rsidRDefault="001771C8" w:rsidP="001771C8">
      <w:pPr>
        <w:rPr>
          <w:rFonts w:eastAsiaTheme="majorEastAsia"/>
          <w:color w:val="000000" w:themeColor="text1"/>
        </w:rPr>
      </w:pPr>
      <w:r w:rsidRPr="001771C8">
        <w:rPr>
          <w:rFonts w:eastAsiaTheme="majorEastAsia"/>
          <w:color w:val="000000" w:themeColor="text1"/>
        </w:rPr>
        <w:t xml:space="preserve">Financial Incentives and Regulatory Pressures: </w:t>
      </w:r>
      <w:r w:rsidR="005951BA" w:rsidRPr="005951BA">
        <w:rPr>
          <w:rFonts w:eastAsiaTheme="majorEastAsia"/>
          <w:color w:val="000000" w:themeColor="text1"/>
        </w:rPr>
        <w:t>European firms, less reliant on oil revenue, have greater financial motivation to transition. Strict regulations, such as carbon taxes, make the shift toward renewable energy more attractive</w:t>
      </w:r>
      <w:sdt>
        <w:sdtPr>
          <w:rPr>
            <w:rFonts w:eastAsiaTheme="majorEastAsia"/>
            <w:color w:val="000000" w:themeColor="text1"/>
          </w:rPr>
          <w:id w:val="63462723"/>
          <w:citation/>
        </w:sdtPr>
        <w:sdtContent>
          <w:r>
            <w:rPr>
              <w:rFonts w:eastAsiaTheme="majorEastAsia"/>
              <w:color w:val="000000" w:themeColor="text1"/>
            </w:rPr>
            <w:fldChar w:fldCharType="begin"/>
          </w:r>
          <w:r>
            <w:rPr>
              <w:rFonts w:eastAsiaTheme="majorEastAsia"/>
              <w:color w:val="000000" w:themeColor="text1"/>
            </w:rPr>
            <w:instrText xml:space="preserve"> CITATION Wil67 \l 1033 </w:instrText>
          </w:r>
          <w:r>
            <w:rPr>
              <w:rFonts w:eastAsiaTheme="majorEastAsia"/>
              <w:color w:val="000000" w:themeColor="text1"/>
            </w:rPr>
            <w:fldChar w:fldCharType="separate"/>
          </w:r>
          <w:r>
            <w:rPr>
              <w:rFonts w:eastAsiaTheme="majorEastAsia"/>
              <w:noProof/>
              <w:color w:val="000000" w:themeColor="text1"/>
            </w:rPr>
            <w:t xml:space="preserve"> </w:t>
          </w:r>
          <w:r w:rsidRPr="001771C8">
            <w:rPr>
              <w:rFonts w:eastAsiaTheme="majorEastAsia"/>
              <w:noProof/>
              <w:color w:val="000000" w:themeColor="text1"/>
            </w:rPr>
            <w:t>(Wilson, 2022)</w:t>
          </w:r>
          <w:r>
            <w:rPr>
              <w:rFonts w:eastAsiaTheme="majorEastAsia"/>
              <w:color w:val="000000" w:themeColor="text1"/>
            </w:rPr>
            <w:fldChar w:fldCharType="end"/>
          </w:r>
        </w:sdtContent>
      </w:sdt>
      <w:r>
        <w:rPr>
          <w:rFonts w:eastAsiaTheme="majorEastAsia"/>
          <w:color w:val="000000" w:themeColor="text1"/>
        </w:rPr>
        <w:t>.</w:t>
      </w:r>
    </w:p>
    <w:p w14:paraId="17A3E200" w14:textId="77777777" w:rsidR="00303F2B" w:rsidRPr="00303F2B" w:rsidRDefault="00303F2B" w:rsidP="00303F2B">
      <w:pPr>
        <w:rPr>
          <w:rFonts w:eastAsiaTheme="majorEastAsia"/>
          <w:b/>
          <w:bCs/>
          <w:color w:val="000000" w:themeColor="text1"/>
        </w:rPr>
      </w:pPr>
      <w:r w:rsidRPr="00303F2B">
        <w:rPr>
          <w:rFonts w:eastAsiaTheme="majorEastAsia"/>
          <w:b/>
          <w:bCs/>
          <w:color w:val="000000" w:themeColor="text1"/>
        </w:rPr>
        <w:t>Impact</w:t>
      </w:r>
    </w:p>
    <w:p w14:paraId="7A599FAF" w14:textId="24E3E4FF" w:rsidR="005951BA" w:rsidRPr="005951BA" w:rsidRDefault="005951BA" w:rsidP="005951BA">
      <w:pPr>
        <w:rPr>
          <w:rFonts w:eastAsiaTheme="majorEastAsia"/>
          <w:color w:val="000000" w:themeColor="text1"/>
        </w:rPr>
      </w:pPr>
      <w:r w:rsidRPr="005951BA">
        <w:rPr>
          <w:rFonts w:eastAsiaTheme="majorEastAsia"/>
          <w:color w:val="000000" w:themeColor="text1"/>
        </w:rPr>
        <w:t>Confirmation bias in oil and gas companies has led to several challenges:</w:t>
      </w:r>
    </w:p>
    <w:p w14:paraId="5B4FEEB0" w14:textId="77777777" w:rsidR="005951BA" w:rsidRPr="005951BA" w:rsidRDefault="005951BA" w:rsidP="005951BA">
      <w:pPr>
        <w:rPr>
          <w:rFonts w:eastAsiaTheme="majorEastAsia"/>
          <w:color w:val="000000" w:themeColor="text1"/>
        </w:rPr>
      </w:pPr>
      <w:r w:rsidRPr="005951BA">
        <w:rPr>
          <w:rFonts w:eastAsiaTheme="majorEastAsia"/>
          <w:color w:val="000000" w:themeColor="text1"/>
        </w:rPr>
        <w:t>Regulatory Challenges: Oil and gas companies often underestimate the need to adapt to changing regulations, particularly when political shifts create uncertainty. Aligning with a long-term strategy helps companies avoid reactive decision-making when regulations evolve.</w:t>
      </w:r>
    </w:p>
    <w:p w14:paraId="2484C85B" w14:textId="6EB14CC7" w:rsidR="005951BA" w:rsidRPr="005951BA" w:rsidRDefault="005951BA" w:rsidP="005951BA">
      <w:pPr>
        <w:rPr>
          <w:rFonts w:eastAsiaTheme="majorEastAsia"/>
          <w:color w:val="000000" w:themeColor="text1"/>
        </w:rPr>
      </w:pPr>
      <w:r w:rsidRPr="005951BA">
        <w:rPr>
          <w:rFonts w:eastAsiaTheme="majorEastAsia"/>
          <w:color w:val="000000" w:themeColor="text1"/>
        </w:rPr>
        <w:t xml:space="preserve">Reputation and Trust: Consumers prioritize affordable energy but are increasingly concerned about sustainability. Companies that downplay climate </w:t>
      </w:r>
      <w:r>
        <w:rPr>
          <w:rFonts w:eastAsiaTheme="majorEastAsia"/>
          <w:color w:val="000000" w:themeColor="text1"/>
        </w:rPr>
        <w:t>issue</w:t>
      </w:r>
      <w:r w:rsidRPr="005951BA">
        <w:rPr>
          <w:rFonts w:eastAsiaTheme="majorEastAsia"/>
          <w:color w:val="000000" w:themeColor="text1"/>
        </w:rPr>
        <w:t>s risk consumer loyalty. Those that balance affordability with sustainability can enhance their reputation.</w:t>
      </w:r>
    </w:p>
    <w:p w14:paraId="15070C8D" w14:textId="089E6500" w:rsidR="005951BA" w:rsidRPr="005951BA" w:rsidRDefault="005951BA" w:rsidP="005951BA">
      <w:pPr>
        <w:rPr>
          <w:rFonts w:eastAsiaTheme="majorEastAsia"/>
          <w:color w:val="000000" w:themeColor="text1"/>
        </w:rPr>
      </w:pPr>
      <w:r w:rsidRPr="005951BA">
        <w:rPr>
          <w:rFonts w:eastAsiaTheme="majorEastAsia"/>
          <w:color w:val="000000" w:themeColor="text1"/>
        </w:rPr>
        <w:t xml:space="preserve">Missed Innovation Opportunities: </w:t>
      </w:r>
      <w:r>
        <w:rPr>
          <w:rFonts w:eastAsiaTheme="majorEastAsia"/>
          <w:color w:val="000000" w:themeColor="text1"/>
        </w:rPr>
        <w:t>Focusing on</w:t>
      </w:r>
      <w:r w:rsidRPr="005951BA">
        <w:rPr>
          <w:rFonts w:eastAsiaTheme="majorEastAsia"/>
          <w:color w:val="000000" w:themeColor="text1"/>
        </w:rPr>
        <w:t xml:space="preserve"> traditional fossil fuels has caused companies to miss opportunities in clean energy. With experience in large-scale projects, oil and gas companies can lead the renewable energy transition by adopting a proactive approach.</w:t>
      </w:r>
    </w:p>
    <w:p w14:paraId="6D063E46" w14:textId="4A792742" w:rsidR="00303F2B" w:rsidRPr="00303F2B" w:rsidRDefault="005951BA" w:rsidP="005951BA">
      <w:pPr>
        <w:rPr>
          <w:rFonts w:eastAsiaTheme="majorEastAsia"/>
          <w:color w:val="000000" w:themeColor="text1"/>
        </w:rPr>
      </w:pPr>
      <w:r w:rsidRPr="005951BA">
        <w:rPr>
          <w:rFonts w:eastAsiaTheme="majorEastAsia"/>
          <w:color w:val="000000" w:themeColor="text1"/>
        </w:rPr>
        <w:t>These impacts highlight the risks of confirmation bias. A balanced approach helps oil and gas companies adapt and stay competitive</w:t>
      </w:r>
      <w:r w:rsidR="00D15524" w:rsidRPr="00D15524">
        <w:rPr>
          <w:rFonts w:eastAsiaTheme="majorEastAsia"/>
          <w:color w:val="000000" w:themeColor="text1"/>
        </w:rPr>
        <w:t>.</w:t>
      </w:r>
    </w:p>
    <w:p w14:paraId="12940D15" w14:textId="77777777" w:rsidR="005951BA" w:rsidRDefault="003C5ADF" w:rsidP="005951BA">
      <w:pPr>
        <w:rPr>
          <w:rFonts w:eastAsiaTheme="majorEastAsia"/>
          <w:b/>
          <w:bCs/>
          <w:color w:val="000000" w:themeColor="text1"/>
        </w:rPr>
      </w:pPr>
      <w:r w:rsidRPr="00E057F4">
        <w:rPr>
          <w:rFonts w:eastAsiaTheme="majorEastAsia"/>
          <w:b/>
          <w:bCs/>
          <w:color w:val="000000" w:themeColor="text1"/>
        </w:rPr>
        <w:t>Lessons Learned</w:t>
      </w:r>
    </w:p>
    <w:p w14:paraId="22844A38" w14:textId="424956CF" w:rsidR="005951BA" w:rsidRPr="005951BA" w:rsidRDefault="005951BA" w:rsidP="005951BA">
      <w:pPr>
        <w:rPr>
          <w:rFonts w:eastAsiaTheme="majorEastAsia"/>
          <w:b/>
          <w:bCs/>
          <w:color w:val="000000" w:themeColor="text1"/>
        </w:rPr>
      </w:pPr>
      <w:r w:rsidRPr="005951BA">
        <w:rPr>
          <w:rFonts w:eastAsiaTheme="majorEastAsia"/>
          <w:color w:val="000000" w:themeColor="text1"/>
        </w:rPr>
        <w:lastRenderedPageBreak/>
        <w:t>This case demonstrates how core incentives drive confirmation bias. Key lessons for decision-makers include:</w:t>
      </w:r>
    </w:p>
    <w:p w14:paraId="27D4BF28" w14:textId="21BBDB07" w:rsidR="005951BA" w:rsidRPr="005951BA" w:rsidRDefault="005951BA" w:rsidP="005951BA">
      <w:pPr>
        <w:rPr>
          <w:rFonts w:eastAsiaTheme="majorEastAsia"/>
          <w:color w:val="000000" w:themeColor="text1"/>
        </w:rPr>
      </w:pPr>
      <w:r w:rsidRPr="005951BA">
        <w:rPr>
          <w:rFonts w:eastAsiaTheme="majorEastAsia"/>
          <w:color w:val="000000" w:themeColor="text1"/>
        </w:rPr>
        <w:t xml:space="preserve">Focus on Long-Term Strategy: A clear vision for the future helps </w:t>
      </w:r>
      <w:r>
        <w:rPr>
          <w:rFonts w:eastAsiaTheme="majorEastAsia"/>
          <w:color w:val="000000" w:themeColor="text1"/>
        </w:rPr>
        <w:t xml:space="preserve">companies </w:t>
      </w:r>
      <w:r w:rsidRPr="005951BA">
        <w:rPr>
          <w:rFonts w:eastAsiaTheme="majorEastAsia"/>
          <w:color w:val="000000" w:themeColor="text1"/>
        </w:rPr>
        <w:t xml:space="preserve">ensure that </w:t>
      </w:r>
      <w:r>
        <w:rPr>
          <w:rFonts w:eastAsiaTheme="majorEastAsia"/>
          <w:color w:val="000000" w:themeColor="text1"/>
        </w:rPr>
        <w:t xml:space="preserve">their </w:t>
      </w:r>
      <w:r w:rsidRPr="005951BA">
        <w:rPr>
          <w:rFonts w:eastAsiaTheme="majorEastAsia"/>
          <w:color w:val="000000" w:themeColor="text1"/>
        </w:rPr>
        <w:t>decisions are not swayed by immediate pressures or confirmation bias.</w:t>
      </w:r>
    </w:p>
    <w:p w14:paraId="27B6280A" w14:textId="47F48F6A" w:rsidR="005951BA" w:rsidRPr="005951BA" w:rsidRDefault="005951BA" w:rsidP="005951BA">
      <w:pPr>
        <w:rPr>
          <w:rFonts w:eastAsiaTheme="majorEastAsia"/>
          <w:color w:val="000000" w:themeColor="text1"/>
        </w:rPr>
      </w:pPr>
      <w:r w:rsidRPr="005951BA">
        <w:rPr>
          <w:rFonts w:eastAsiaTheme="majorEastAsia"/>
          <w:color w:val="000000" w:themeColor="text1"/>
        </w:rPr>
        <w:t xml:space="preserve">Diversify Information Sources: To avoid biased decision-making, companies </w:t>
      </w:r>
      <w:r>
        <w:rPr>
          <w:rFonts w:eastAsiaTheme="majorEastAsia"/>
          <w:color w:val="000000" w:themeColor="text1"/>
        </w:rPr>
        <w:t>can</w:t>
      </w:r>
      <w:r w:rsidRPr="005951BA">
        <w:rPr>
          <w:rFonts w:eastAsiaTheme="majorEastAsia"/>
          <w:color w:val="000000" w:themeColor="text1"/>
        </w:rPr>
        <w:t xml:space="preserve"> actively seek out diverse perspectives and data that challenge </w:t>
      </w:r>
      <w:r>
        <w:rPr>
          <w:rFonts w:eastAsiaTheme="majorEastAsia"/>
          <w:color w:val="000000" w:themeColor="text1"/>
        </w:rPr>
        <w:t>their short-term priorities</w:t>
      </w:r>
      <w:r w:rsidRPr="005951BA">
        <w:rPr>
          <w:rFonts w:eastAsiaTheme="majorEastAsia"/>
          <w:color w:val="000000" w:themeColor="text1"/>
        </w:rPr>
        <w:t xml:space="preserve"> when navigating complex issues like climate change. </w:t>
      </w:r>
    </w:p>
    <w:p w14:paraId="7636E895" w14:textId="0BB1328B" w:rsidR="00C023FA" w:rsidRPr="00BA1EAF" w:rsidRDefault="005951BA" w:rsidP="005951BA">
      <w:pPr>
        <w:rPr>
          <w:rFonts w:eastAsiaTheme="majorEastAsia"/>
          <w:color w:val="000000" w:themeColor="text1"/>
        </w:rPr>
      </w:pPr>
      <w:r w:rsidRPr="005951BA">
        <w:rPr>
          <w:rFonts w:eastAsiaTheme="majorEastAsia"/>
          <w:color w:val="000000" w:themeColor="text1"/>
        </w:rPr>
        <w:t>Commit to Transparent</w:t>
      </w:r>
      <w:r w:rsidR="00F4757E">
        <w:rPr>
          <w:rFonts w:eastAsiaTheme="majorEastAsia"/>
          <w:color w:val="000000" w:themeColor="text1"/>
        </w:rPr>
        <w:t xml:space="preserve"> </w:t>
      </w:r>
      <w:r w:rsidRPr="005951BA">
        <w:rPr>
          <w:rFonts w:eastAsiaTheme="majorEastAsia"/>
          <w:color w:val="000000" w:themeColor="text1"/>
        </w:rPr>
        <w:t xml:space="preserve">Decision Making: </w:t>
      </w:r>
      <w:r w:rsidR="00F4757E" w:rsidRPr="00F4757E">
        <w:rPr>
          <w:rFonts w:eastAsiaTheme="majorEastAsia"/>
          <w:color w:val="000000" w:themeColor="text1"/>
        </w:rPr>
        <w:t xml:space="preserve">Bias thrives when decisions rely on selective or opaque information. Promoting transparency and using objective, comprehensive data helps mitigate biases and </w:t>
      </w:r>
      <w:r w:rsidR="00F4757E">
        <w:rPr>
          <w:rFonts w:eastAsiaTheme="majorEastAsia"/>
          <w:color w:val="000000" w:themeColor="text1"/>
        </w:rPr>
        <w:t>promotes more balanced outcomes</w:t>
      </w:r>
      <w:r w:rsidR="00C023FA">
        <w:t>.</w:t>
      </w:r>
    </w:p>
    <w:p w14:paraId="25C13970" w14:textId="0497AD2D" w:rsidR="00C669CF" w:rsidRDefault="00F4757E" w:rsidP="00C023FA">
      <w:pPr>
        <w:rPr>
          <w:rFonts w:eastAsiaTheme="majorEastAsia"/>
        </w:rPr>
      </w:pPr>
      <w:r>
        <w:rPr>
          <w:rFonts w:eastAsiaTheme="majorEastAsia"/>
        </w:rPr>
        <w:t>B</w:t>
      </w:r>
      <w:r w:rsidRPr="00F4757E">
        <w:rPr>
          <w:rFonts w:eastAsiaTheme="majorEastAsia"/>
        </w:rPr>
        <w:t xml:space="preserve">y actively applying these </w:t>
      </w:r>
      <w:r>
        <w:rPr>
          <w:rFonts w:eastAsiaTheme="majorEastAsia"/>
        </w:rPr>
        <w:t>tactics</w:t>
      </w:r>
      <w:r w:rsidRPr="00F4757E">
        <w:rPr>
          <w:rFonts w:eastAsiaTheme="majorEastAsia"/>
        </w:rPr>
        <w:t xml:space="preserve">, companies can make more resilient decisions that align with long-term goals and adapt to evolving </w:t>
      </w:r>
      <w:r w:rsidRPr="004854AA">
        <w:rPr>
          <w:rFonts w:eastAsiaTheme="majorEastAsia"/>
        </w:rPr>
        <w:t>market needs.</w:t>
      </w:r>
    </w:p>
    <w:p w14:paraId="1B5CD08A" w14:textId="77777777" w:rsidR="00F4757E" w:rsidRPr="005E3806" w:rsidRDefault="00F4757E" w:rsidP="00C023FA">
      <w:pPr>
        <w:rPr>
          <w:rFonts w:eastAsiaTheme="majorEastAsia"/>
        </w:rPr>
      </w:pPr>
    </w:p>
    <w:p w14:paraId="56C12AE5" w14:textId="77777777" w:rsidR="00762BAB" w:rsidRPr="00762BAB" w:rsidRDefault="00762BAB" w:rsidP="00762BAB">
      <w:pPr>
        <w:pStyle w:val="Heading2"/>
      </w:pPr>
      <w:bookmarkStart w:id="23" w:name="_Toc191026915"/>
      <w:r w:rsidRPr="00762BAB">
        <w:t>Anchoring Bias</w:t>
      </w:r>
      <w:bookmarkEnd w:id="23"/>
    </w:p>
    <w:p w14:paraId="3B7817A0" w14:textId="7F9C6B05" w:rsidR="00F95BAA" w:rsidRPr="00F95BAA" w:rsidRDefault="00F95BAA" w:rsidP="00F95BAA">
      <w:r w:rsidRPr="00F95BAA">
        <w:t xml:space="preserve">Anchoring bias </w:t>
      </w:r>
      <w:r w:rsidR="004A6D25">
        <w:t>affects people decision-making</w:t>
      </w:r>
      <w:r w:rsidRPr="00F95BAA">
        <w:t xml:space="preserve"> when </w:t>
      </w:r>
      <w:r w:rsidR="004A6D25">
        <w:t xml:space="preserve">they rely </w:t>
      </w:r>
      <w:r w:rsidRPr="00F95BAA">
        <w:t>too</w:t>
      </w:r>
      <w:r w:rsidR="004A6D25">
        <w:t xml:space="preserve"> heavily </w:t>
      </w:r>
      <w:r w:rsidRPr="00F95BAA">
        <w:t xml:space="preserve">on the first piece of information they </w:t>
      </w:r>
      <w:r w:rsidR="004A6D25">
        <w:t>receive</w:t>
      </w:r>
      <w:r w:rsidRPr="00F95BAA">
        <w:t xml:space="preserve">. This initial "anchor" shapes subsequent judgments, often leading to biased </w:t>
      </w:r>
      <w:r w:rsidR="004A6D25">
        <w:t xml:space="preserve">decisions </w:t>
      </w:r>
      <w:r w:rsidRPr="00F95BAA">
        <w:t xml:space="preserve">that remain overly influenced by the starting reference point. While people </w:t>
      </w:r>
      <w:r w:rsidR="004A6D25">
        <w:t xml:space="preserve">may </w:t>
      </w:r>
      <w:r w:rsidRPr="00F95BAA">
        <w:t xml:space="preserve">attempt to </w:t>
      </w:r>
      <w:r w:rsidR="004A6D25">
        <w:t>adjust,</w:t>
      </w:r>
      <w:r w:rsidRPr="00F95BAA">
        <w:t xml:space="preserve"> these </w:t>
      </w:r>
      <w:r w:rsidR="004A6D25">
        <w:t xml:space="preserve">shifts </w:t>
      </w:r>
      <w:r w:rsidRPr="00F95BAA">
        <w:t xml:space="preserve">are </w:t>
      </w:r>
      <w:r w:rsidR="004A6D25">
        <w:t>usually</w:t>
      </w:r>
      <w:r w:rsidRPr="00F95BAA">
        <w:t xml:space="preserve"> too small, keeping final </w:t>
      </w:r>
      <w:r w:rsidR="004A6D25">
        <w:t>choices</w:t>
      </w:r>
      <w:r w:rsidRPr="00F95BAA">
        <w:t xml:space="preserve"> closer to the initial </w:t>
      </w:r>
      <w:r w:rsidR="004A6D25">
        <w:t>anchor</w:t>
      </w:r>
      <w:r w:rsidRPr="00F95BAA">
        <w:t xml:space="preserve"> than they otherwise would be.</w:t>
      </w:r>
    </w:p>
    <w:p w14:paraId="72408A5D" w14:textId="7BB7D553" w:rsidR="00F95BAA" w:rsidRPr="00F95BAA" w:rsidRDefault="00D36C2F" w:rsidP="00F95BAA">
      <w:r w:rsidRPr="00D36C2F">
        <w:t>For example, car dealerships commonly list vehicles at high sticker prices, shaping how buyers evaluate subsequent offers</w:t>
      </w:r>
      <w:r>
        <w:t xml:space="preserve"> during negotiations</w:t>
      </w:r>
      <w:r w:rsidRPr="00D36C2F">
        <w:t xml:space="preserve">. Instead of basing their purchase decisions on fair market value, </w:t>
      </w:r>
      <w:r w:rsidRPr="00D36C2F">
        <w:lastRenderedPageBreak/>
        <w:t>buyers often adjust their expectations from the initial anchor, even when fair pricing information is readily available on vehicle service websites such as Edmunds.com</w:t>
      </w:r>
      <w:r w:rsidR="00F95BAA" w:rsidRPr="00F95BAA">
        <w:t>.</w:t>
      </w:r>
    </w:p>
    <w:p w14:paraId="16681E2F" w14:textId="4BD5B4B0" w:rsidR="00AB2922" w:rsidRDefault="00AB2922" w:rsidP="00F95BAA">
      <w:r w:rsidRPr="00AB2922">
        <w:t xml:space="preserve">Drazen </w:t>
      </w:r>
      <w:proofErr w:type="spellStart"/>
      <w:r w:rsidRPr="00AB2922">
        <w:t>Prelec</w:t>
      </w:r>
      <w:proofErr w:type="spellEnd"/>
      <w:r w:rsidRPr="00AB2922">
        <w:t>, a Professor of Management Science and Economics at MIT, conducted experiments demonstrating how arbitrary anchors can strongly influence judgement</w:t>
      </w:r>
      <w:sdt>
        <w:sdtPr>
          <w:id w:val="1431544445"/>
          <w:citation/>
        </w:sdtPr>
        <w:sdtContent>
          <w:r w:rsidR="00422FAE">
            <w:fldChar w:fldCharType="begin"/>
          </w:r>
          <w:r w:rsidR="00422FAE">
            <w:instrText xml:space="preserve"> CITATION Pre05 \l 1033 </w:instrText>
          </w:r>
          <w:r w:rsidR="00422FAE">
            <w:fldChar w:fldCharType="separate"/>
          </w:r>
          <w:r w:rsidR="00422FAE">
            <w:rPr>
              <w:noProof/>
            </w:rPr>
            <w:t xml:space="preserve"> (Prelec, 2005)</w:t>
          </w:r>
          <w:r w:rsidR="00422FAE">
            <w:fldChar w:fldCharType="end"/>
          </w:r>
        </w:sdtContent>
      </w:sdt>
      <w:r w:rsidRPr="00AB2922">
        <w:t xml:space="preserve">. In </w:t>
      </w:r>
      <w:r>
        <w:t>a</w:t>
      </w:r>
      <w:r w:rsidRPr="00AB2922">
        <w:t xml:space="preserve"> 2003 study, </w:t>
      </w:r>
      <w:r>
        <w:t xml:space="preserve">researchers asked participants </w:t>
      </w:r>
      <w:r w:rsidRPr="00AB2922">
        <w:t xml:space="preserve">to write down the last two digits of their Social Security numbers before </w:t>
      </w:r>
      <w:r>
        <w:t xml:space="preserve">biding on various </w:t>
      </w:r>
      <w:r w:rsidR="00667919">
        <w:t>item</w:t>
      </w:r>
      <w:r>
        <w:t>s</w:t>
      </w:r>
      <w:r w:rsidRPr="00AB2922">
        <w:t xml:space="preserve"> in an auction. Despite the numbers being entirely unrelated to the items</w:t>
      </w:r>
      <w:r w:rsidR="00667919">
        <w:t>’</w:t>
      </w:r>
      <w:r w:rsidRPr="00AB2922">
        <w:t xml:space="preserve"> actual value, </w:t>
      </w:r>
      <w:r w:rsidR="00667919" w:rsidRPr="00667919">
        <w:t>participants with higher digits consistently placed higher bids</w:t>
      </w:r>
      <w:r w:rsidRPr="00AB2922">
        <w:t xml:space="preserve">. This experiment highlighted </w:t>
      </w:r>
      <w:r w:rsidR="00667919">
        <w:t xml:space="preserve">the persistent impact of anchoring bias on </w:t>
      </w:r>
      <w:r w:rsidRPr="00AB2922">
        <w:t>decision-making.</w:t>
      </w:r>
    </w:p>
    <w:p w14:paraId="79103FAD" w14:textId="097C7357" w:rsidR="002B3FC4" w:rsidRDefault="009A6662" w:rsidP="004854AA">
      <w:r w:rsidRPr="009A6662">
        <w:t>Anchoring bias examples can also be observed in workplace decisions. For instance, during a project planning meeting, a</w:t>
      </w:r>
      <w:r w:rsidR="00667919">
        <w:t xml:space="preserve"> senior professional</w:t>
      </w:r>
      <w:r w:rsidRPr="009A6662">
        <w:t xml:space="preserve"> might propose a two-month timeline for developing a new product. This initial </w:t>
      </w:r>
      <w:r w:rsidR="00667919">
        <w:t>proposal</w:t>
      </w:r>
      <w:r w:rsidRPr="009A6662">
        <w:t xml:space="preserve"> sets an anchor that influences the team's discussions. Even after evaluating the requirements and determining that the project will take at least twice as long, </w:t>
      </w:r>
      <w:r w:rsidR="00292A05" w:rsidRPr="00292A05">
        <w:t xml:space="preserve">the original anchor continues to shape project priorities, with the </w:t>
      </w:r>
      <w:r w:rsidR="00292A05">
        <w:t>aggressive deadline</w:t>
      </w:r>
      <w:r w:rsidR="00292A05" w:rsidRPr="00292A05">
        <w:t xml:space="preserve"> taking priority over scope, quality, or cost</w:t>
      </w:r>
      <w:r w:rsidR="002B3FC4" w:rsidRPr="002B3FC4">
        <w:t>.</w:t>
      </w:r>
    </w:p>
    <w:p w14:paraId="4A9D1587" w14:textId="7859850C" w:rsidR="00762BAB" w:rsidRPr="00762BAB" w:rsidRDefault="00762BAB" w:rsidP="00C669CF">
      <w:pPr>
        <w:pStyle w:val="Heading3"/>
      </w:pPr>
      <w:r w:rsidRPr="00762BAB">
        <w:t>Disarm Anchoring Bias</w:t>
      </w:r>
    </w:p>
    <w:p w14:paraId="0FEA98D4" w14:textId="05161EAE" w:rsidR="00292A05" w:rsidRDefault="00292A05" w:rsidP="00292A05">
      <w:r>
        <w:t xml:space="preserve">To counteract anchoring bias, it's important to </w:t>
      </w:r>
      <w:r w:rsidR="00E55ADC">
        <w:t>remove the</w:t>
      </w:r>
      <w:r>
        <w:t xml:space="preserve"> initial anchor and encourage a broader review of evidence. Adrian Furnham, a professor at the University College London, reviewed 40 years of research on anchoring bias and proposed several strategies:</w:t>
      </w:r>
    </w:p>
    <w:p w14:paraId="35F5B5E3" w14:textId="23DD8996" w:rsidR="00292A05" w:rsidRDefault="00292A05" w:rsidP="00D81274">
      <w:pPr>
        <w:pStyle w:val="ListParagraph"/>
        <w:numPr>
          <w:ilvl w:val="0"/>
          <w:numId w:val="54"/>
        </w:numPr>
      </w:pPr>
      <w:r>
        <w:t xml:space="preserve">Propose a Counter-Anchor: Introduce an alternative reference point before the initial anchor takes hold. For example, in the project management scenario, </w:t>
      </w:r>
      <w:r w:rsidR="00E55ADC">
        <w:t>a statement like</w:t>
      </w:r>
      <w:r>
        <w:t xml:space="preserve"> "</w:t>
      </w:r>
      <w:r w:rsidR="00E55ADC">
        <w:t>W</w:t>
      </w:r>
      <w:r>
        <w:t>e need at least four months to complete the project</w:t>
      </w:r>
      <w:r w:rsidR="00E55ADC">
        <w:t xml:space="preserve"> with satisfactory quality</w:t>
      </w:r>
      <w:r>
        <w:t xml:space="preserve">," introduces a </w:t>
      </w:r>
      <w:r w:rsidR="00E55ADC">
        <w:t xml:space="preserve">realistic reference point </w:t>
      </w:r>
      <w:r>
        <w:t>that minimizes the influence of the original timeline.</w:t>
      </w:r>
    </w:p>
    <w:p w14:paraId="2E4F9A23" w14:textId="2A27B366" w:rsidR="00292A05" w:rsidRDefault="00292A05" w:rsidP="00D81274">
      <w:pPr>
        <w:pStyle w:val="ListParagraph"/>
        <w:numPr>
          <w:ilvl w:val="0"/>
          <w:numId w:val="54"/>
        </w:numPr>
      </w:pPr>
      <w:r>
        <w:lastRenderedPageBreak/>
        <w:t xml:space="preserve">Shift Focus: </w:t>
      </w:r>
      <w:r w:rsidR="00552F53">
        <w:t>R</w:t>
      </w:r>
      <w:r w:rsidR="00552F53" w:rsidRPr="00552F53">
        <w:t xml:space="preserve">edirect attention </w:t>
      </w:r>
      <w:r w:rsidR="00552F53">
        <w:t xml:space="preserve">away from the anchor topic and </w:t>
      </w:r>
      <w:r w:rsidR="00552F53" w:rsidRPr="00552F53">
        <w:t xml:space="preserve">toward </w:t>
      </w:r>
      <w:r w:rsidR="00552F53">
        <w:t>a</w:t>
      </w:r>
      <w:r w:rsidR="00552F53" w:rsidRPr="00552F53">
        <w:t xml:space="preserve"> core </w:t>
      </w:r>
      <w:r w:rsidR="00552F53">
        <w:t>aspect of the decision</w:t>
      </w:r>
      <w:r w:rsidR="008242A4">
        <w:t xml:space="preserve"> that should be prioritized</w:t>
      </w:r>
      <w:r w:rsidR="00552F53" w:rsidRPr="00552F53">
        <w:t xml:space="preserve">. In the project planning example, saying, “Before we </w:t>
      </w:r>
      <w:r w:rsidR="008242A4">
        <w:t>discuss</w:t>
      </w:r>
      <w:r w:rsidR="00552F53" w:rsidRPr="00552F53">
        <w:t xml:space="preserve"> the schedule, </w:t>
      </w:r>
      <w:r w:rsidR="008242A4">
        <w:t>shall we</w:t>
      </w:r>
      <w:r w:rsidR="00552F53" w:rsidRPr="00552F53">
        <w:t xml:space="preserve"> </w:t>
      </w:r>
      <w:r w:rsidR="008242A4">
        <w:t>clarify</w:t>
      </w:r>
      <w:r w:rsidR="00552F53" w:rsidRPr="00552F53">
        <w:t xml:space="preserve"> our project objectives</w:t>
      </w:r>
      <w:r w:rsidR="008242A4">
        <w:t xml:space="preserve"> and priorities?</w:t>
      </w:r>
      <w:r w:rsidR="00552F53" w:rsidRPr="00552F53">
        <w:t xml:space="preserve">” </w:t>
      </w:r>
      <w:r w:rsidR="008242A4">
        <w:t>helps</w:t>
      </w:r>
      <w:r w:rsidR="00552F53" w:rsidRPr="00552F53">
        <w:t xml:space="preserve"> the team </w:t>
      </w:r>
      <w:r w:rsidR="008242A4">
        <w:t xml:space="preserve">shift the </w:t>
      </w:r>
      <w:r w:rsidR="00552F53" w:rsidRPr="00552F53">
        <w:t>focus</w:t>
      </w:r>
      <w:r w:rsidR="008242A4">
        <w:t xml:space="preserve"> </w:t>
      </w:r>
      <w:r w:rsidR="00552F53" w:rsidRPr="00552F53">
        <w:t>on what truly matters—what the project is supposed to achieve—before getting caught up in timeline</w:t>
      </w:r>
      <w:r w:rsidR="008242A4">
        <w:t xml:space="preserve"> discussions</w:t>
      </w:r>
      <w:r w:rsidR="00552F53" w:rsidRPr="00552F53">
        <w:t>.</w:t>
      </w:r>
    </w:p>
    <w:p w14:paraId="245C45B2" w14:textId="11E0B5BE" w:rsidR="00CC2108" w:rsidRDefault="00292A05" w:rsidP="00D81274">
      <w:pPr>
        <w:pStyle w:val="ListParagraph"/>
        <w:numPr>
          <w:ilvl w:val="0"/>
          <w:numId w:val="54"/>
        </w:numPr>
      </w:pPr>
      <w:r>
        <w:t xml:space="preserve">Broaden Perspective: </w:t>
      </w:r>
      <w:r w:rsidR="00CC2108">
        <w:t>This strategy e</w:t>
      </w:r>
      <w:r w:rsidR="008242A4" w:rsidRPr="00CC2108">
        <w:t>xpand</w:t>
      </w:r>
      <w:r w:rsidR="00CC2108" w:rsidRPr="00CC2108">
        <w:t>s</w:t>
      </w:r>
      <w:r w:rsidR="008242A4" w:rsidRPr="00CC2108">
        <w:t xml:space="preserve"> the scope</w:t>
      </w:r>
      <w:r w:rsidR="008242A4" w:rsidRPr="008242A4">
        <w:t> </w:t>
      </w:r>
      <w:r w:rsidR="00CC2108">
        <w:t xml:space="preserve">of the decision </w:t>
      </w:r>
      <w:r w:rsidR="008242A4" w:rsidRPr="008242A4">
        <w:t>to include additional factors that might not have been initially considered</w:t>
      </w:r>
      <w:r w:rsidR="008242A4">
        <w:t xml:space="preserve">. </w:t>
      </w:r>
      <w:r w:rsidR="00CC2108">
        <w:t>By a</w:t>
      </w:r>
      <w:r w:rsidR="008242A4">
        <w:t>cknowledg</w:t>
      </w:r>
      <w:r w:rsidR="00CC2108">
        <w:t>ing</w:t>
      </w:r>
      <w:r w:rsidR="008242A4">
        <w:t xml:space="preserve"> that the anchored information is just </w:t>
      </w:r>
      <w:r w:rsidR="00CC2108">
        <w:t>element</w:t>
      </w:r>
      <w:r w:rsidR="008242A4">
        <w:t xml:space="preserve">, </w:t>
      </w:r>
      <w:r w:rsidR="00CC2108">
        <w:t>the broadened scope may</w:t>
      </w:r>
      <w:r w:rsidR="008242A4">
        <w:t xml:space="preserve"> also include a counter-anchor</w:t>
      </w:r>
      <w:r w:rsidR="00CC2108">
        <w:t xml:space="preserve">, but it does so in a way that incorporates </w:t>
      </w:r>
      <w:r w:rsidR="00CE6B14">
        <w:t>the</w:t>
      </w:r>
      <w:r w:rsidR="00CC2108">
        <w:t xml:space="preserve"> bigger picture. For example, a </w:t>
      </w:r>
      <w:r w:rsidR="00CC2108" w:rsidRPr="00CC2108">
        <w:t xml:space="preserve">car buyer might say, “While </w:t>
      </w:r>
      <w:r w:rsidR="00664433">
        <w:t xml:space="preserve">stick </w:t>
      </w:r>
      <w:r w:rsidR="00CC2108" w:rsidRPr="00CC2108">
        <w:t xml:space="preserve">price is </w:t>
      </w:r>
      <w:r w:rsidR="00CC2108">
        <w:t>just one factor</w:t>
      </w:r>
      <w:r w:rsidR="00CC2108" w:rsidRPr="00CC2108">
        <w:t xml:space="preserve">, </w:t>
      </w:r>
      <w:r w:rsidR="00CC2108">
        <w:t xml:space="preserve">we </w:t>
      </w:r>
      <w:r w:rsidR="00664433">
        <w:t>shall also consider</w:t>
      </w:r>
      <w:r w:rsidR="00CC2108" w:rsidRPr="00CC2108">
        <w:t xml:space="preserve"> </w:t>
      </w:r>
      <w:r w:rsidR="00CC2108" w:rsidRPr="00664433">
        <w:t>car’s fair market value</w:t>
      </w:r>
      <w:r w:rsidR="00CC2108" w:rsidRPr="00CC2108">
        <w:t xml:space="preserve">, which is currently about </w:t>
      </w:r>
      <w:r w:rsidR="00CC2108">
        <w:t>several thousand</w:t>
      </w:r>
      <w:r w:rsidR="00CC2108" w:rsidRPr="00CC2108">
        <w:t xml:space="preserve"> </w:t>
      </w:r>
      <w:r w:rsidR="00CC2108">
        <w:t xml:space="preserve">dollars </w:t>
      </w:r>
      <w:r w:rsidR="00CC2108" w:rsidRPr="00CC2108">
        <w:t xml:space="preserve">lower than the listed price. </w:t>
      </w:r>
      <w:r w:rsidR="00CE6B14">
        <w:t>Let’s</w:t>
      </w:r>
      <w:r w:rsidR="00CC2108" w:rsidRPr="00CC2108">
        <w:t xml:space="preserve"> </w:t>
      </w:r>
      <w:r w:rsidR="00CE6B14">
        <w:t xml:space="preserve">also </w:t>
      </w:r>
      <w:r w:rsidR="00664433">
        <w:t xml:space="preserve">look at </w:t>
      </w:r>
      <w:r w:rsidR="00CC2108" w:rsidRPr="00CC2108">
        <w:t xml:space="preserve">the total cost of ownership, </w:t>
      </w:r>
      <w:r w:rsidR="00CE6B14">
        <w:t xml:space="preserve">such as </w:t>
      </w:r>
      <w:r w:rsidR="00CC2108" w:rsidRPr="00CC2108">
        <w:t>financing options, maintenance, and warranty packages</w:t>
      </w:r>
      <w:r w:rsidR="00CE6B14">
        <w:t>.</w:t>
      </w:r>
      <w:r w:rsidR="00664433">
        <w:t xml:space="preserve">” </w:t>
      </w:r>
      <w:r w:rsidR="00664433" w:rsidRPr="00664433">
        <w:t xml:space="preserve">This </w:t>
      </w:r>
      <w:r w:rsidR="00CE6B14">
        <w:t>approach</w:t>
      </w:r>
      <w:r w:rsidR="00664433" w:rsidRPr="00664433">
        <w:t xml:space="preserve"> </w:t>
      </w:r>
      <w:r w:rsidR="00664433">
        <w:t>expand</w:t>
      </w:r>
      <w:r w:rsidR="00664433" w:rsidRPr="00664433">
        <w:t xml:space="preserve"> the conversation from the initial anchor (the sticker price) to a more holistic view</w:t>
      </w:r>
      <w:r w:rsidR="00CE6B14">
        <w:t xml:space="preserve"> of the discussion?</w:t>
      </w:r>
      <w:r w:rsidR="00664433">
        <w:t xml:space="preserve"> </w:t>
      </w:r>
    </w:p>
    <w:p w14:paraId="41030CC0" w14:textId="044ACDDE" w:rsidR="001E7DCD" w:rsidRDefault="00664433" w:rsidP="00543BC2">
      <w:r w:rsidRPr="00664433">
        <w:t xml:space="preserve">Whichever </w:t>
      </w:r>
      <w:r w:rsidR="00CE6B14">
        <w:t>strategy</w:t>
      </w:r>
      <w:r w:rsidRPr="00664433">
        <w:t xml:space="preserve"> is used, the key to disarming anchoring bias is to act swiftly. Addressing the anchor early prevents it from </w:t>
      </w:r>
      <w:r>
        <w:t>roots</w:t>
      </w:r>
      <w:r w:rsidRPr="00664433">
        <w:t xml:space="preserve"> </w:t>
      </w:r>
      <w:r>
        <w:t xml:space="preserve">itself in the </w:t>
      </w:r>
      <w:r w:rsidRPr="00664433">
        <w:t xml:space="preserve">decision-making process. The longer the initial reference point remains unchallenged, the </w:t>
      </w:r>
      <w:r>
        <w:t>h</w:t>
      </w:r>
      <w:r w:rsidRPr="00664433">
        <w:t xml:space="preserve">arder </w:t>
      </w:r>
      <w:r>
        <w:t xml:space="preserve">it becomes </w:t>
      </w:r>
      <w:r w:rsidRPr="00664433">
        <w:t>to shift perspectives. By intervening promptly, you can reshape the decision-making process and guide it toward a more balanced evaluation</w:t>
      </w:r>
      <w:r>
        <w:t xml:space="preserve">. </w:t>
      </w:r>
    </w:p>
    <w:p w14:paraId="329D00B2" w14:textId="51792C2F" w:rsidR="00F7344C" w:rsidRDefault="00CE09C4" w:rsidP="00F7344C">
      <w:pPr>
        <w:pStyle w:val="Heading3"/>
      </w:pPr>
      <w:r>
        <w:lastRenderedPageBreak/>
        <w:t xml:space="preserve">Business Case: </w:t>
      </w:r>
      <w:r w:rsidR="00670D9D" w:rsidRPr="00670D9D">
        <w:t>ow Anchoring Bias Hurt JC Penney's EDLP Strategy</w:t>
      </w:r>
    </w:p>
    <w:p w14:paraId="3897390B" w14:textId="1C74312B" w:rsidR="00626A28" w:rsidRPr="00626A28" w:rsidRDefault="007865CC" w:rsidP="00626A28">
      <w:pPr>
        <w:pStyle w:val="Heading3"/>
        <w:numPr>
          <w:ilvl w:val="0"/>
          <w:numId w:val="0"/>
        </w:numPr>
      </w:pPr>
      <w:r w:rsidRPr="007865CC">
        <w:rPr>
          <w:rFonts w:asciiTheme="minorHAnsi" w:eastAsia="SimSun" w:hAnsiTheme="minorHAnsi" w:cstheme="minorBidi"/>
          <w:i w:val="0"/>
          <w:color w:val="auto"/>
          <w:sz w:val="22"/>
          <w:szCs w:val="22"/>
        </w:rPr>
        <w:t>In 2011, JCPenney introduced a new pricing strategy aimed at simplifying its pricing structure and increasing transparency. The company replaced traditional discounts with an “Everyday Low Pricing” (EDLP) model, offering consistent prices without the need for promotions. However, the strategy failed, in part due to anchoring bias—a psychological effect the company failed to anticipate</w:t>
      </w:r>
      <w:sdt>
        <w:sdtPr>
          <w:id w:val="1497609037"/>
          <w:citation/>
        </w:sdtPr>
        <w:sdtContent>
          <w:r w:rsidR="002A03CC">
            <w:fldChar w:fldCharType="begin"/>
          </w:r>
          <w:r w:rsidR="002A03CC">
            <w:instrText xml:space="preserve"> CITATION Duh13 \l 1033 </w:instrText>
          </w:r>
          <w:r w:rsidR="002A03CC">
            <w:fldChar w:fldCharType="separate"/>
          </w:r>
          <w:r w:rsidR="002A03CC">
            <w:rPr>
              <w:noProof/>
            </w:rPr>
            <w:t xml:space="preserve"> (Duhigg, 2013)</w:t>
          </w:r>
          <w:r w:rsidR="002A03CC">
            <w:fldChar w:fldCharType="end"/>
          </w:r>
        </w:sdtContent>
      </w:sdt>
      <w:r w:rsidR="002A03CC">
        <w:t>.</w:t>
      </w:r>
    </w:p>
    <w:p w14:paraId="5CE22FD8" w14:textId="77777777" w:rsidR="00670D9D" w:rsidRDefault="00670D9D" w:rsidP="00FB713A">
      <w:pPr>
        <w:rPr>
          <w:b/>
          <w:bCs/>
        </w:rPr>
      </w:pPr>
      <w:r w:rsidRPr="00670D9D">
        <w:rPr>
          <w:b/>
          <w:bCs/>
        </w:rPr>
        <w:t>Consumers' Anchoring Bias at Play</w:t>
      </w:r>
    </w:p>
    <w:p w14:paraId="792070E8" w14:textId="6841E8F7" w:rsidR="007865CC" w:rsidRDefault="007865CC" w:rsidP="007865CC">
      <w:r>
        <w:t>JCPenney’s EDLP strategy disrupted long-standing consumer expectations. Shoppers had been conditioned to see high “original” prices followed by steep discounts, which helped justify their purchases. Without the familiar “was” and “now” labels, customers struggled to determine whether they were getting a good deal even though the everyday low prices were comparable to previous sale prices..</w:t>
      </w:r>
    </w:p>
    <w:p w14:paraId="5A20188A" w14:textId="6C987023" w:rsidR="003C192A" w:rsidRDefault="007865CC" w:rsidP="007865CC">
      <w:r>
        <w:t>Compounding the issue, JCPenney failed to clearly communicate the benefits of EDLP—such as simplicity, long-term savings, and price consistency. Without this reassurance, customers perceived the new pricing as a downgrade rather than an improvement. Many associated the lower prices with lower quality, further eroding trust in the brand</w:t>
      </w:r>
      <w:r w:rsidR="001A3073">
        <w:t>.</w:t>
      </w:r>
    </w:p>
    <w:p w14:paraId="66041009" w14:textId="77777777" w:rsidR="00543BC2" w:rsidRPr="00543BC2" w:rsidRDefault="00543BC2" w:rsidP="00543BC2">
      <w:pPr>
        <w:rPr>
          <w:b/>
          <w:bCs/>
        </w:rPr>
      </w:pPr>
      <w:r w:rsidRPr="00543BC2">
        <w:rPr>
          <w:b/>
          <w:bCs/>
        </w:rPr>
        <w:t>Impact</w:t>
      </w:r>
    </w:p>
    <w:p w14:paraId="7322D420" w14:textId="5BCA5EF8" w:rsidR="007865CC" w:rsidRDefault="007865CC" w:rsidP="007865CC">
      <w:r>
        <w:t>The EDLP strategy led to immediate financial losses. In 2012, JCPenney’s quarterly sales dropped 32%, resulting in a $163 million profit loss for the year. Customer hesitation led to declining foot traffic and eroded brand loyalty. By 2013, the company reinstated promotions, but the damage was done.</w:t>
      </w:r>
    </w:p>
    <w:p w14:paraId="44E81C0F" w14:textId="1A30C38B" w:rsidR="00543BC2" w:rsidRDefault="007865CC" w:rsidP="007865CC">
      <w:r>
        <w:t>The fallout extended beyond the failed strategy. By 2014, JCPenney’s stock had fallen 50% from pre-EDLP levels, and sales remained sluggish. The company never fully regained consumer trust or recovered from its misstep, losing its competitive edge to rivals like Target and Macy’s in an industry built on strong consumer connections</w:t>
      </w:r>
      <w:r w:rsidR="00752D9F">
        <w:t>.</w:t>
      </w:r>
    </w:p>
    <w:p w14:paraId="17894FC8" w14:textId="77777777" w:rsidR="00543BC2" w:rsidRPr="00543BC2" w:rsidRDefault="00543BC2" w:rsidP="00543BC2">
      <w:pPr>
        <w:rPr>
          <w:b/>
          <w:bCs/>
        </w:rPr>
      </w:pPr>
      <w:r w:rsidRPr="00543BC2">
        <w:rPr>
          <w:b/>
          <w:bCs/>
        </w:rPr>
        <w:lastRenderedPageBreak/>
        <w:t>Lessons Learned</w:t>
      </w:r>
    </w:p>
    <w:p w14:paraId="2CFAD13E" w14:textId="1D3FC830" w:rsidR="00576E86" w:rsidRDefault="00576E86" w:rsidP="00576E86">
      <w:r>
        <w:t>JCPenney’s failure to anticipate consumer anchoring bias played a major role in the collapse of its EDLP strategy. The case highlights key takeaways:</w:t>
      </w:r>
    </w:p>
    <w:p w14:paraId="2D3A108A" w14:textId="77777777" w:rsidR="00576E86" w:rsidRDefault="00576E86" w:rsidP="00D81274">
      <w:pPr>
        <w:pStyle w:val="ListParagraph"/>
        <w:numPr>
          <w:ilvl w:val="0"/>
          <w:numId w:val="55"/>
        </w:numPr>
      </w:pPr>
      <w:r>
        <w:t>Understand Consumer Reactions: Pricing changes must align with how customers assess value. JCPenney underestimated how much shoppers depended on discounts as reference points. Removing them without a clear transition plan led to confusion and resistance.</w:t>
      </w:r>
    </w:p>
    <w:p w14:paraId="629ADD3F" w14:textId="617F3FA1" w:rsidR="00543BC2" w:rsidRDefault="00576E86" w:rsidP="00D81274">
      <w:pPr>
        <w:pStyle w:val="ListParagraph"/>
        <w:numPr>
          <w:ilvl w:val="0"/>
          <w:numId w:val="55"/>
        </w:numPr>
      </w:pPr>
      <w:r>
        <w:t>Rebuilding Trust Is Difficult: Once a company disrupts customers’ decision-making process with a poorly communicated pricing shift, restoring confidence becomes an uphill battle. JCPenney’s failure to justify the new pricing model left consumers uncertain about the value they were getting, ultimately weakening trust in the brand</w:t>
      </w:r>
      <w:r w:rsidR="00574D0E">
        <w:t xml:space="preserve">. </w:t>
      </w:r>
    </w:p>
    <w:p w14:paraId="0D1C79CB" w14:textId="77777777" w:rsidR="005F5776" w:rsidRDefault="005F5776" w:rsidP="005F5776">
      <w:pPr>
        <w:pStyle w:val="ListParagraph"/>
      </w:pPr>
      <w:bookmarkStart w:id="24" w:name="_Hlk167876299"/>
    </w:p>
    <w:p w14:paraId="32C8ED83" w14:textId="2BBEBF19" w:rsidR="001027CE" w:rsidRPr="001027CE" w:rsidRDefault="001027CE" w:rsidP="001027CE">
      <w:pPr>
        <w:pStyle w:val="Heading2"/>
      </w:pPr>
      <w:bookmarkStart w:id="25" w:name="_Toc191026916"/>
      <w:bookmarkEnd w:id="24"/>
      <w:r w:rsidRPr="001027CE">
        <w:t>Framing Bias</w:t>
      </w:r>
      <w:bookmarkEnd w:id="25"/>
    </w:p>
    <w:p w14:paraId="6D3413A2" w14:textId="40FE3B2E" w:rsidR="00684BEB" w:rsidRPr="00CE2226" w:rsidRDefault="00684BEB" w:rsidP="00684BEB">
      <w:pPr>
        <w:rPr>
          <w:rFonts w:eastAsiaTheme="majorEastAsia"/>
        </w:rPr>
      </w:pPr>
      <w:r w:rsidRPr="00CE2226">
        <w:rPr>
          <w:rFonts w:eastAsiaTheme="majorEastAsia"/>
        </w:rPr>
        <w:t>Framing bias influences decision-making by shaping how information is presented, leading individuals to interpret the same data differently depending on its emphasis. This bias is especially prevalent in consumer marketing and corporate decision-making, where framing can guide choices toward a preferred interpretation. The way information is framed can highlight potential gains or risks, influencing behavior and business strategies.</w:t>
      </w:r>
    </w:p>
    <w:p w14:paraId="37F5A1FF" w14:textId="77777777" w:rsidR="00CE2226" w:rsidRPr="00CE2226" w:rsidRDefault="00294FAC" w:rsidP="00294FAC">
      <w:pPr>
        <w:rPr>
          <w:rFonts w:eastAsiaTheme="majorEastAsia"/>
        </w:rPr>
      </w:pPr>
      <w:r w:rsidRPr="00CE2226">
        <w:rPr>
          <w:rFonts w:eastAsiaTheme="majorEastAsia"/>
        </w:rPr>
        <w:t xml:space="preserve">Framing bias is common in consumer decision-making, shaping how products and services are perceived. </w:t>
      </w:r>
    </w:p>
    <w:p w14:paraId="58DFE198" w14:textId="7FE3D819" w:rsidR="00CE2226" w:rsidRPr="00CE2226" w:rsidRDefault="00CE2226" w:rsidP="00CE2226">
      <w:pPr>
        <w:rPr>
          <w:rFonts w:eastAsiaTheme="majorEastAsia"/>
        </w:rPr>
      </w:pPr>
      <w:r w:rsidRPr="00CE2226">
        <w:rPr>
          <w:rFonts w:eastAsiaTheme="majorEastAsia"/>
        </w:rPr>
        <w:t>An example for consumer behavior framing bias could involve airline ticket pricing:</w:t>
      </w:r>
    </w:p>
    <w:p w14:paraId="1FDE694D" w14:textId="77777777" w:rsidR="00CE2226" w:rsidRPr="00CE2226" w:rsidRDefault="00CE2226" w:rsidP="00CE2226">
      <w:pPr>
        <w:ind w:firstLine="720"/>
        <w:rPr>
          <w:rFonts w:eastAsiaTheme="majorEastAsia"/>
          <w:i/>
          <w:iCs/>
        </w:rPr>
      </w:pPr>
      <w:r w:rsidRPr="00CE2226">
        <w:rPr>
          <w:rFonts w:eastAsiaTheme="majorEastAsia"/>
          <w:i/>
          <w:iCs/>
        </w:rPr>
        <w:t>Positive framing: "Fly for as low as $199! Limited seats available."</w:t>
      </w:r>
    </w:p>
    <w:p w14:paraId="1AA11611" w14:textId="1183E80C" w:rsidR="00CE2226" w:rsidRPr="00CE2226" w:rsidRDefault="00CE2226" w:rsidP="00CE2226">
      <w:pPr>
        <w:rPr>
          <w:rFonts w:eastAsiaTheme="majorEastAsia"/>
        </w:rPr>
      </w:pPr>
      <w:r w:rsidRPr="00CE2226">
        <w:rPr>
          <w:rFonts w:eastAsiaTheme="majorEastAsia"/>
        </w:rPr>
        <w:t>The positive framing highlights affordability and urgency, encouraging quick ticket purchases. Would you feel the same impulse to act if the pricing was presented differently?</w:t>
      </w:r>
    </w:p>
    <w:p w14:paraId="327A63B9" w14:textId="1B655CAD" w:rsidR="00CE2226" w:rsidRPr="00CE2226" w:rsidRDefault="00CE2226" w:rsidP="00CE2226">
      <w:pPr>
        <w:ind w:firstLine="720"/>
        <w:rPr>
          <w:rFonts w:eastAsiaTheme="majorEastAsia"/>
          <w:i/>
          <w:iCs/>
        </w:rPr>
      </w:pPr>
      <w:r w:rsidRPr="00CE2226">
        <w:rPr>
          <w:rFonts w:eastAsiaTheme="majorEastAsia"/>
          <w:i/>
          <w:iCs/>
        </w:rPr>
        <w:lastRenderedPageBreak/>
        <w:t>Negative framing: "Base fare: $199, plus additional fees for baggage, seat selection, and taxes."</w:t>
      </w:r>
    </w:p>
    <w:p w14:paraId="5AF58B25" w14:textId="77777777" w:rsidR="00CE2226" w:rsidRPr="00CE2226" w:rsidRDefault="00CE2226" w:rsidP="00CE2226">
      <w:pPr>
        <w:rPr>
          <w:rFonts w:eastAsiaTheme="majorEastAsia"/>
        </w:rPr>
      </w:pPr>
      <w:r w:rsidRPr="00CE2226">
        <w:rPr>
          <w:rFonts w:eastAsiaTheme="majorEastAsia"/>
        </w:rPr>
        <w:t xml:space="preserve">Both statements describe the same pricing structure, but the negative framing, by breaking down costs, makes the total expense feel larger and may lead to hesitation. </w:t>
      </w:r>
    </w:p>
    <w:p w14:paraId="1C508541" w14:textId="517A6A89" w:rsidR="00CE2226" w:rsidRPr="00CE2226" w:rsidRDefault="00CE2226" w:rsidP="00CE2226">
      <w:pPr>
        <w:rPr>
          <w:rFonts w:eastAsiaTheme="majorEastAsia"/>
        </w:rPr>
      </w:pPr>
      <w:r w:rsidRPr="00CE2226">
        <w:rPr>
          <w:rFonts w:eastAsiaTheme="majorEastAsia"/>
        </w:rPr>
        <w:t>Businesses frequently use these framing techniques to.</w:t>
      </w:r>
    </w:p>
    <w:p w14:paraId="006C5638" w14:textId="001EDFA8" w:rsidR="00684BEB" w:rsidRPr="00684BEB" w:rsidRDefault="00FC1DF2" w:rsidP="00684BEB">
      <w:pPr>
        <w:rPr>
          <w:rFonts w:eastAsiaTheme="majorEastAsia"/>
        </w:rPr>
      </w:pPr>
      <w:r w:rsidRPr="00CE2226">
        <w:rPr>
          <w:rFonts w:eastAsiaTheme="majorEastAsia"/>
        </w:rPr>
        <w:t>These</w:t>
      </w:r>
      <w:r w:rsidR="00294FAC" w:rsidRPr="00CE2226">
        <w:rPr>
          <w:rFonts w:eastAsiaTheme="majorEastAsia"/>
        </w:rPr>
        <w:t xml:space="preserve"> framing techniques are widely used in marketing, pricing models, and advertising to </w:t>
      </w:r>
      <w:r w:rsidR="00CE2226" w:rsidRPr="00CE2226">
        <w:rPr>
          <w:rFonts w:eastAsiaTheme="majorEastAsia"/>
        </w:rPr>
        <w:t>influence consumer perception and drive sales</w:t>
      </w:r>
      <w:r w:rsidR="00294FAC" w:rsidRPr="00CE2226">
        <w:rPr>
          <w:rFonts w:eastAsiaTheme="majorEastAsia"/>
        </w:rPr>
        <w:t>.</w:t>
      </w:r>
    </w:p>
    <w:p w14:paraId="0A8B9078" w14:textId="72DD6396" w:rsidR="00684BEB" w:rsidRPr="00CE2226" w:rsidRDefault="00684BEB" w:rsidP="00684BEB">
      <w:pPr>
        <w:pStyle w:val="Heading3"/>
      </w:pPr>
      <w:r w:rsidRPr="00684BEB">
        <w:t>Framing Bias in Decision-Making Processes</w:t>
      </w:r>
    </w:p>
    <w:p w14:paraId="4699EA1D" w14:textId="324274D8" w:rsidR="00684BEB" w:rsidRPr="00684BEB" w:rsidRDefault="00684BEB" w:rsidP="00684BEB">
      <w:pPr>
        <w:rPr>
          <w:rFonts w:eastAsiaTheme="majorEastAsia"/>
        </w:rPr>
      </w:pPr>
      <w:r w:rsidRPr="00684BEB">
        <w:rPr>
          <w:rFonts w:eastAsiaTheme="majorEastAsia"/>
        </w:rPr>
        <w:t>Beyond consumer behavior, framing bias also influences how executives evaluate investments, how teams prioritize projects, and how employees navigate workplace challenges. For example, when employees navigate workplace challenges, framing can shape perceptions of their problem-solving abilities and resilience. Consider a situation where a manager evaluates an employee's performance in handling a difficult client relationship:</w:t>
      </w:r>
    </w:p>
    <w:p w14:paraId="2355C494" w14:textId="5766448B" w:rsidR="00684BEB" w:rsidRPr="00684BEB" w:rsidRDefault="00684BEB" w:rsidP="00684BEB">
      <w:pPr>
        <w:rPr>
          <w:rFonts w:eastAsiaTheme="majorEastAsia"/>
        </w:rPr>
      </w:pPr>
      <w:r w:rsidRPr="00684BEB">
        <w:rPr>
          <w:rFonts w:eastAsiaTheme="majorEastAsia"/>
        </w:rPr>
        <w:t xml:space="preserve">Positive framing: "The employee </w:t>
      </w:r>
      <w:r w:rsidR="00460ED9" w:rsidRPr="00684BEB">
        <w:rPr>
          <w:rFonts w:eastAsiaTheme="majorEastAsia"/>
        </w:rPr>
        <w:t>actively</w:t>
      </w:r>
      <w:r w:rsidRPr="00684BEB">
        <w:rPr>
          <w:rFonts w:eastAsiaTheme="majorEastAsia"/>
        </w:rPr>
        <w:t xml:space="preserve"> </w:t>
      </w:r>
      <w:r w:rsidR="00460ED9">
        <w:rPr>
          <w:rFonts w:eastAsiaTheme="majorEastAsia"/>
        </w:rPr>
        <w:t>managed</w:t>
      </w:r>
      <w:r w:rsidRPr="00684BEB">
        <w:rPr>
          <w:rFonts w:eastAsiaTheme="majorEastAsia"/>
        </w:rPr>
        <w:t xml:space="preserve"> a challenging client situation, demonstrating adaptability and knowing when to seek </w:t>
      </w:r>
      <w:r w:rsidR="00460ED9">
        <w:rPr>
          <w:rFonts w:eastAsiaTheme="majorEastAsia"/>
        </w:rPr>
        <w:t xml:space="preserve">support </w:t>
      </w:r>
      <w:r w:rsidRPr="00684BEB">
        <w:rPr>
          <w:rFonts w:eastAsiaTheme="majorEastAsia"/>
        </w:rPr>
        <w:t>to maintain a productive relationship."</w:t>
      </w:r>
    </w:p>
    <w:p w14:paraId="70131E9E" w14:textId="3F4E7AE9" w:rsidR="00684BEB" w:rsidRPr="00684BEB" w:rsidRDefault="00684BEB" w:rsidP="00684BEB">
      <w:pPr>
        <w:rPr>
          <w:rFonts w:eastAsiaTheme="majorEastAsia"/>
        </w:rPr>
      </w:pPr>
      <w:r w:rsidRPr="00684BEB">
        <w:rPr>
          <w:rFonts w:eastAsiaTheme="majorEastAsia"/>
        </w:rPr>
        <w:t>Negative framing: "The employee faced challenges with a demanding client but is actively developing strategies to improve communication and conflict resolution skills."</w:t>
      </w:r>
    </w:p>
    <w:p w14:paraId="6287A3BB" w14:textId="6A47679D" w:rsidR="00684BEB" w:rsidRPr="00684BEB" w:rsidRDefault="00684BEB" w:rsidP="00684BEB">
      <w:pPr>
        <w:rPr>
          <w:rFonts w:eastAsiaTheme="majorEastAsia"/>
        </w:rPr>
      </w:pPr>
      <w:r w:rsidRPr="00684BEB">
        <w:rPr>
          <w:rFonts w:eastAsiaTheme="majorEastAsia"/>
        </w:rPr>
        <w:t xml:space="preserve">Although both statements describe the same </w:t>
      </w:r>
      <w:r w:rsidR="00460ED9">
        <w:rPr>
          <w:rFonts w:eastAsiaTheme="majorEastAsia"/>
        </w:rPr>
        <w:t xml:space="preserve">employee-client relationship </w:t>
      </w:r>
      <w:r w:rsidRPr="00684BEB">
        <w:rPr>
          <w:rFonts w:eastAsiaTheme="majorEastAsia"/>
        </w:rPr>
        <w:t xml:space="preserve">situation, the framing </w:t>
      </w:r>
      <w:r w:rsidR="00460ED9">
        <w:rPr>
          <w:rFonts w:eastAsiaTheme="majorEastAsia"/>
        </w:rPr>
        <w:t xml:space="preserve">creates different perceptions on </w:t>
      </w:r>
      <w:r w:rsidRPr="00684BEB">
        <w:rPr>
          <w:rFonts w:eastAsiaTheme="majorEastAsia"/>
        </w:rPr>
        <w:t xml:space="preserve">the employee’s ability to handle high-pressure interactions. A positively framed assessment may reinforce </w:t>
      </w:r>
      <w:r w:rsidR="00460ED9">
        <w:rPr>
          <w:rFonts w:eastAsiaTheme="majorEastAsia"/>
        </w:rPr>
        <w:t>opinions</w:t>
      </w:r>
      <w:r w:rsidRPr="00684BEB">
        <w:rPr>
          <w:rFonts w:eastAsiaTheme="majorEastAsia"/>
        </w:rPr>
        <w:t xml:space="preserve"> of leadership potential, positioning the employee as </w:t>
      </w:r>
      <w:r w:rsidR="00460ED9">
        <w:rPr>
          <w:rFonts w:eastAsiaTheme="majorEastAsia"/>
        </w:rPr>
        <w:t>a capable one</w:t>
      </w:r>
      <w:r w:rsidRPr="00684BEB">
        <w:rPr>
          <w:rFonts w:eastAsiaTheme="majorEastAsia"/>
        </w:rPr>
        <w:t xml:space="preserve"> </w:t>
      </w:r>
      <w:r w:rsidR="00460ED9">
        <w:rPr>
          <w:rFonts w:eastAsiaTheme="majorEastAsia"/>
        </w:rPr>
        <w:t>ready for</w:t>
      </w:r>
      <w:r w:rsidRPr="00684BEB">
        <w:rPr>
          <w:rFonts w:eastAsiaTheme="majorEastAsia"/>
        </w:rPr>
        <w:t xml:space="preserve"> tak</w:t>
      </w:r>
      <w:r w:rsidR="00460ED9">
        <w:rPr>
          <w:rFonts w:eastAsiaTheme="majorEastAsia"/>
        </w:rPr>
        <w:t>ing</w:t>
      </w:r>
      <w:r w:rsidRPr="00684BEB">
        <w:rPr>
          <w:rFonts w:eastAsiaTheme="majorEastAsia"/>
        </w:rPr>
        <w:t xml:space="preserve"> on greater responsibilities. In contrast, a negatively framed </w:t>
      </w:r>
      <w:r w:rsidR="00460ED9">
        <w:rPr>
          <w:rFonts w:eastAsiaTheme="majorEastAsia"/>
        </w:rPr>
        <w:t>comment</w:t>
      </w:r>
      <w:r w:rsidRPr="00684BEB">
        <w:rPr>
          <w:rFonts w:eastAsiaTheme="majorEastAsia"/>
        </w:rPr>
        <w:t xml:space="preserve"> may suggest a need for additional </w:t>
      </w:r>
      <w:r w:rsidR="00460ED9">
        <w:rPr>
          <w:rFonts w:eastAsiaTheme="majorEastAsia"/>
        </w:rPr>
        <w:t>skill development</w:t>
      </w:r>
      <w:r w:rsidRPr="00684BEB">
        <w:rPr>
          <w:rFonts w:eastAsiaTheme="majorEastAsia"/>
        </w:rPr>
        <w:t>, impacting decisions regarding promotions</w:t>
      </w:r>
      <w:r w:rsidR="00460ED9">
        <w:rPr>
          <w:rFonts w:eastAsiaTheme="majorEastAsia"/>
        </w:rPr>
        <w:t xml:space="preserve"> and</w:t>
      </w:r>
      <w:r w:rsidRPr="00684BEB">
        <w:rPr>
          <w:rFonts w:eastAsiaTheme="majorEastAsia"/>
        </w:rPr>
        <w:t xml:space="preserve"> leadership </w:t>
      </w:r>
      <w:r w:rsidRPr="00684BEB">
        <w:rPr>
          <w:rFonts w:eastAsiaTheme="majorEastAsia"/>
        </w:rPr>
        <w:lastRenderedPageBreak/>
        <w:t xml:space="preserve">opportunities. Recognizing </w:t>
      </w:r>
      <w:r w:rsidR="00A66906">
        <w:rPr>
          <w:rFonts w:eastAsiaTheme="majorEastAsia"/>
        </w:rPr>
        <w:t xml:space="preserve">how </w:t>
      </w:r>
      <w:r w:rsidRPr="00684BEB">
        <w:rPr>
          <w:rFonts w:eastAsiaTheme="majorEastAsia"/>
        </w:rPr>
        <w:t xml:space="preserve">framing shapes </w:t>
      </w:r>
      <w:r w:rsidR="00A66906">
        <w:rPr>
          <w:rFonts w:eastAsiaTheme="majorEastAsia"/>
        </w:rPr>
        <w:t xml:space="preserve">workplace decisions </w:t>
      </w:r>
      <w:r w:rsidRPr="00684BEB">
        <w:rPr>
          <w:rFonts w:eastAsiaTheme="majorEastAsia"/>
        </w:rPr>
        <w:t>can help</w:t>
      </w:r>
      <w:r w:rsidR="00A66906">
        <w:rPr>
          <w:rFonts w:eastAsiaTheme="majorEastAsia"/>
        </w:rPr>
        <w:t xml:space="preserve"> employees </w:t>
      </w:r>
      <w:r w:rsidRPr="00684BEB">
        <w:rPr>
          <w:rFonts w:eastAsiaTheme="majorEastAsia"/>
        </w:rPr>
        <w:t>advocate for their own growth effectively.</w:t>
      </w:r>
    </w:p>
    <w:p w14:paraId="26FC1B37" w14:textId="3B3258D6" w:rsidR="00684BEB" w:rsidRPr="00A66906" w:rsidRDefault="00684BEB" w:rsidP="00684BEB">
      <w:pPr>
        <w:pStyle w:val="Heading3"/>
      </w:pPr>
      <w:r w:rsidRPr="00684BEB">
        <w:t>Framing Bias in Strategic Decision-Making</w:t>
      </w:r>
    </w:p>
    <w:p w14:paraId="45F08E0E" w14:textId="11BAF986" w:rsidR="00314434" w:rsidRPr="00314434" w:rsidRDefault="00314434" w:rsidP="00314434">
      <w:pPr>
        <w:rPr>
          <w:rFonts w:eastAsiaTheme="majorEastAsia"/>
        </w:rPr>
      </w:pPr>
      <w:r w:rsidRPr="00314434">
        <w:rPr>
          <w:rFonts w:eastAsiaTheme="majorEastAsia"/>
        </w:rPr>
        <w:t>Framing bias can become deeply embedded in corporate culture, shaping strategic decisions in ways that are subtle yet highly impactful. Companies often frame their financial choices to favor short-term gains over long-term value, leading to underinvestment in R&amp;D, innovation, and technology infrastructure—key drivers of competitive advantage.</w:t>
      </w:r>
    </w:p>
    <w:p w14:paraId="1AFDCC42" w14:textId="4D0339DC" w:rsidR="00314434" w:rsidRPr="00314434" w:rsidRDefault="00314434" w:rsidP="00314434">
      <w:pPr>
        <w:rPr>
          <w:rFonts w:eastAsiaTheme="majorEastAsia"/>
        </w:rPr>
      </w:pPr>
      <w:r w:rsidRPr="00314434">
        <w:rPr>
          <w:rFonts w:eastAsiaTheme="majorEastAsia"/>
        </w:rPr>
        <w:t>For example, in IT adoption, executives may focus on the immediate costs of digital transformation rather than its strategic impact, delaying necessary modernization efforts. Similarly, in workforce management, hiring innovative talent may be framed as an expense rather than an investment, resulting in skill stagnation that weakens long-term performance.</w:t>
      </w:r>
    </w:p>
    <w:p w14:paraId="6C0B0D6D" w14:textId="1591B434" w:rsidR="00B810DE" w:rsidRDefault="00314434" w:rsidP="00314434">
      <w:pPr>
        <w:rPr>
          <w:rFonts w:eastAsiaTheme="majorEastAsia"/>
        </w:rPr>
      </w:pPr>
      <w:r w:rsidRPr="00314434">
        <w:rPr>
          <w:rFonts w:eastAsiaTheme="majorEastAsia"/>
        </w:rPr>
        <w:t>Over time, this bias becomes ingrained in corporate culture, reinforcing short-term metrics as the dominant decision-making priority. Because these justifications provide immediate rewards, challenging the biased focus is often met with resistance—even when it constrains future growth. The consequences become apparent only when competitors, who have consistently invested in innovation and strategic initiatives, leap ahead. By the time a company recognizes the gap, years of undervaluing long-term investments may have already eroded its competitive position.</w:t>
      </w:r>
      <w:r w:rsidR="000B056C">
        <w:rPr>
          <w:rFonts w:eastAsiaTheme="majorEastAsia"/>
        </w:rPr>
        <w:t>.</w:t>
      </w:r>
      <w:r w:rsidR="00A00C6B">
        <w:rPr>
          <w:rFonts w:eastAsiaTheme="majorEastAsia"/>
        </w:rPr>
        <w:t xml:space="preserve">  </w:t>
      </w:r>
      <w:r w:rsidR="00373275" w:rsidRPr="0067307E">
        <w:rPr>
          <w:rFonts w:eastAsiaTheme="majorEastAsia"/>
        </w:rPr>
        <w:t xml:space="preserve"> </w:t>
      </w:r>
    </w:p>
    <w:p w14:paraId="2B100B1A" w14:textId="0C94C479" w:rsidR="00F23499" w:rsidRPr="00F23499" w:rsidRDefault="00F23499" w:rsidP="00F23499">
      <w:pPr>
        <w:pStyle w:val="Heading3"/>
      </w:pPr>
      <w:r w:rsidRPr="00F23499">
        <w:t>Disarm Framing Bias</w:t>
      </w:r>
    </w:p>
    <w:p w14:paraId="42DDF150" w14:textId="13B4502B" w:rsidR="002C5D8E" w:rsidRPr="002C5D8E" w:rsidRDefault="002C5D8E" w:rsidP="002C5D8E">
      <w:pPr>
        <w:rPr>
          <w:rFonts w:eastAsiaTheme="majorEastAsia"/>
        </w:rPr>
      </w:pPr>
      <w:r w:rsidRPr="002C5D8E">
        <w:rPr>
          <w:rFonts w:eastAsiaTheme="majorEastAsia"/>
        </w:rPr>
        <w:t>To counter framing bias, decision-makers must evaluate information from multiple perspectives—positive, negative, and neutral—while maintaining speed and efficiency. A broader view prevents teams from becoming locked into a single narrative and promotes balanced discussions.</w:t>
      </w:r>
      <w:r>
        <w:rPr>
          <w:rFonts w:eastAsiaTheme="majorEastAsia"/>
        </w:rPr>
        <w:t xml:space="preserve"> </w:t>
      </w:r>
      <w:r w:rsidRPr="002C5D8E">
        <w:rPr>
          <w:rFonts w:eastAsiaTheme="majorEastAsia"/>
        </w:rPr>
        <w:t>One effective method is reframing.</w:t>
      </w:r>
      <w:r>
        <w:rPr>
          <w:rFonts w:eastAsiaTheme="majorEastAsia"/>
        </w:rPr>
        <w:t xml:space="preserve"> For example,</w:t>
      </w:r>
      <w:r w:rsidRPr="002C5D8E">
        <w:rPr>
          <w:rFonts w:eastAsiaTheme="majorEastAsia"/>
        </w:rPr>
        <w:t xml:space="preserve"> </w:t>
      </w:r>
      <w:r>
        <w:rPr>
          <w:rFonts w:eastAsiaTheme="majorEastAsia"/>
        </w:rPr>
        <w:t>i</w:t>
      </w:r>
      <w:r w:rsidRPr="002C5D8E">
        <w:rPr>
          <w:rFonts w:eastAsiaTheme="majorEastAsia"/>
        </w:rPr>
        <w:t>f an IT cloud migration proposal is presented with an overly negative focus on risks, a skillful decision-maker could ask:</w:t>
      </w:r>
    </w:p>
    <w:p w14:paraId="577F6B18" w14:textId="77777777" w:rsidR="002C5D8E" w:rsidRPr="002C5D8E" w:rsidRDefault="002C5D8E" w:rsidP="002C5D8E">
      <w:pPr>
        <w:rPr>
          <w:rFonts w:eastAsiaTheme="majorEastAsia"/>
        </w:rPr>
      </w:pPr>
      <w:r w:rsidRPr="002C5D8E">
        <w:rPr>
          <w:rFonts w:eastAsiaTheme="majorEastAsia"/>
        </w:rPr>
        <w:lastRenderedPageBreak/>
        <w:t>"Instead of focusing on the business disruption risks, what potential long-term benefits does this initiative provide?"</w:t>
      </w:r>
    </w:p>
    <w:p w14:paraId="7C5C3DBF" w14:textId="0FE0D6E4" w:rsidR="002C5D8E" w:rsidRPr="002C5D8E" w:rsidRDefault="002C5D8E" w:rsidP="002C5D8E">
      <w:pPr>
        <w:rPr>
          <w:rFonts w:eastAsiaTheme="majorEastAsia"/>
        </w:rPr>
      </w:pPr>
      <w:r w:rsidRPr="002C5D8E">
        <w:rPr>
          <w:rFonts w:eastAsiaTheme="majorEastAsia"/>
        </w:rPr>
        <w:t>This question shifts the conversation toward actionable insights rather than binary interpretations of success or failure.</w:t>
      </w:r>
    </w:p>
    <w:p w14:paraId="533C9CD1" w14:textId="2987645F" w:rsidR="00521CB2" w:rsidRPr="00F23499" w:rsidRDefault="002C5D8E" w:rsidP="00543BC2">
      <w:pPr>
        <w:rPr>
          <w:rFonts w:eastAsiaTheme="majorEastAsia"/>
        </w:rPr>
      </w:pPr>
      <w:r>
        <w:rPr>
          <w:rFonts w:eastAsiaTheme="majorEastAsia"/>
        </w:rPr>
        <w:t>Leaders</w:t>
      </w:r>
      <w:r w:rsidRPr="002C5D8E">
        <w:rPr>
          <w:rFonts w:eastAsiaTheme="majorEastAsia"/>
        </w:rPr>
        <w:t xml:space="preserve"> play a </w:t>
      </w:r>
      <w:r>
        <w:rPr>
          <w:rFonts w:eastAsiaTheme="majorEastAsia"/>
        </w:rPr>
        <w:t>large</w:t>
      </w:r>
      <w:r w:rsidRPr="002C5D8E">
        <w:rPr>
          <w:rFonts w:eastAsiaTheme="majorEastAsia"/>
        </w:rPr>
        <w:t xml:space="preserve"> role in fostering a decision-making culture that balances short-term priorities with long-term strategic goals. Encouraging input from subject matter experts across operations, finance, technology, and strategy ensures well-rounded decisions without unnecessary bottlenecks. </w:t>
      </w:r>
      <w:r>
        <w:rPr>
          <w:rFonts w:eastAsiaTheme="majorEastAsia"/>
        </w:rPr>
        <w:t>Businesses</w:t>
      </w:r>
      <w:r w:rsidRPr="002C5D8E">
        <w:rPr>
          <w:rFonts w:eastAsiaTheme="majorEastAsia"/>
        </w:rPr>
        <w:t xml:space="preserve"> must establish streamlined processes where diverse perspectives are considered, but decisions are made swiftly to maintain business agility. By structuring discussions around clear priorities and key metrics—rather than getting caught in analysis paralysis—</w:t>
      </w:r>
      <w:r>
        <w:rPr>
          <w:rFonts w:eastAsiaTheme="majorEastAsia"/>
        </w:rPr>
        <w:t>decision-makers</w:t>
      </w:r>
      <w:r w:rsidRPr="002C5D8E">
        <w:rPr>
          <w:rFonts w:eastAsiaTheme="majorEastAsia"/>
        </w:rPr>
        <w:t xml:space="preserve"> can drive fast, informed, and strategically sound choices that position the company for both immediate and sustained success</w:t>
      </w:r>
      <w:r w:rsidR="00C71482" w:rsidRPr="00C71482">
        <w:rPr>
          <w:rFonts w:eastAsiaTheme="majorEastAsia"/>
        </w:rPr>
        <w:t>.</w:t>
      </w:r>
    </w:p>
    <w:p w14:paraId="7ACD8E8B" w14:textId="20F5EC23" w:rsidR="000F3588" w:rsidRPr="000F3588" w:rsidRDefault="000F3588" w:rsidP="000F3588">
      <w:pPr>
        <w:pStyle w:val="Heading3"/>
      </w:pPr>
      <w:r w:rsidRPr="000F3588">
        <w:t>Business Case: Lifestyle Framing in the Diet Soda Market</w:t>
      </w:r>
    </w:p>
    <w:p w14:paraId="1BB9A00D" w14:textId="28D7ACA7" w:rsidR="000F3588" w:rsidRPr="00127391" w:rsidRDefault="000F3588" w:rsidP="000F3588">
      <w:pPr>
        <w:rPr>
          <w:rFonts w:eastAsiaTheme="majorEastAsia"/>
          <w:b/>
          <w:bCs/>
        </w:rPr>
      </w:pPr>
      <w:r w:rsidRPr="00127391">
        <w:rPr>
          <w:rFonts w:eastAsiaTheme="majorEastAsia"/>
          <w:b/>
          <w:bCs/>
        </w:rPr>
        <w:t>Context</w:t>
      </w:r>
    </w:p>
    <w:p w14:paraId="4F44DD88" w14:textId="013351D9" w:rsidR="000F3588" w:rsidRPr="000F3588" w:rsidRDefault="000F3588" w:rsidP="000F3588">
      <w:pPr>
        <w:rPr>
          <w:rFonts w:eastAsiaTheme="majorEastAsia"/>
        </w:rPr>
      </w:pPr>
      <w:r w:rsidRPr="000F3588">
        <w:rPr>
          <w:rFonts w:eastAsiaTheme="majorEastAsia"/>
        </w:rPr>
        <w:t xml:space="preserve">In the highly competitive soft drink industry of the 2000s, major brands sought to differentiate their diet soda products through strategic marketing. During this period, consumer concerns over artificial sweeteners and health risks related to diet sodas were growing, with increasing awareness of potential links to obesity and metabolic health issues. Instead of engaging in the complex and evolving debate over artificial sweeteners and health risks, two major diet soda brands shifted </w:t>
      </w:r>
      <w:r>
        <w:rPr>
          <w:rFonts w:eastAsiaTheme="majorEastAsia"/>
        </w:rPr>
        <w:t xml:space="preserve">their </w:t>
      </w:r>
      <w:r w:rsidRPr="000F3588">
        <w:rPr>
          <w:rFonts w:eastAsiaTheme="majorEastAsia"/>
        </w:rPr>
        <w:t xml:space="preserve">market focus through framing, </w:t>
      </w:r>
      <w:r w:rsidR="00127391" w:rsidRPr="00127391">
        <w:rPr>
          <w:rFonts w:eastAsiaTheme="majorEastAsia"/>
        </w:rPr>
        <w:t>emphasizing aspirational lifestyles over scientific claims</w:t>
      </w:r>
      <w:r w:rsidRPr="000F3588">
        <w:rPr>
          <w:rFonts w:eastAsiaTheme="majorEastAsia"/>
        </w:rPr>
        <w:t xml:space="preserve">. This strategic </w:t>
      </w:r>
      <w:r>
        <w:rPr>
          <w:rFonts w:eastAsiaTheme="majorEastAsia"/>
        </w:rPr>
        <w:t xml:space="preserve">framing </w:t>
      </w:r>
      <w:r w:rsidR="00127391" w:rsidRPr="00127391">
        <w:rPr>
          <w:rFonts w:eastAsiaTheme="majorEastAsia"/>
        </w:rPr>
        <w:t xml:space="preserve">allowed them to sidestep controversy while maintaining consumer appeal through emotional and cultural connections. </w:t>
      </w:r>
    </w:p>
    <w:p w14:paraId="2B2E888A" w14:textId="77777777" w:rsidR="00127391" w:rsidRDefault="000F3588" w:rsidP="000F3588">
      <w:pPr>
        <w:rPr>
          <w:rFonts w:eastAsiaTheme="majorEastAsia"/>
          <w:b/>
          <w:bCs/>
        </w:rPr>
      </w:pPr>
      <w:r w:rsidRPr="00127391">
        <w:rPr>
          <w:rFonts w:eastAsiaTheme="majorEastAsia"/>
          <w:b/>
          <w:bCs/>
        </w:rPr>
        <w:t>Framing at Play</w:t>
      </w:r>
    </w:p>
    <w:p w14:paraId="7B4895C8" w14:textId="77777777" w:rsidR="00127391" w:rsidRDefault="000F3588" w:rsidP="000F3588">
      <w:pPr>
        <w:rPr>
          <w:rFonts w:eastAsiaTheme="majorEastAsia"/>
        </w:rPr>
      </w:pPr>
      <w:r w:rsidRPr="000F3588">
        <w:rPr>
          <w:rFonts w:eastAsiaTheme="majorEastAsia"/>
        </w:rPr>
        <w:t>Brand A: The Stylish, Professional Choice</w:t>
      </w:r>
      <w:r w:rsidR="00127391">
        <w:rPr>
          <w:rFonts w:eastAsiaTheme="majorEastAsia"/>
        </w:rPr>
        <w:t xml:space="preserve"> </w:t>
      </w:r>
    </w:p>
    <w:p w14:paraId="4C340B3F" w14:textId="6331866A" w:rsidR="000F3588" w:rsidRPr="00127391" w:rsidRDefault="000F3588" w:rsidP="000F3588">
      <w:pPr>
        <w:rPr>
          <w:rFonts w:eastAsiaTheme="majorEastAsia"/>
          <w:b/>
          <w:bCs/>
        </w:rPr>
      </w:pPr>
      <w:r w:rsidRPr="000F3588">
        <w:rPr>
          <w:rFonts w:eastAsiaTheme="majorEastAsia"/>
        </w:rPr>
        <w:lastRenderedPageBreak/>
        <w:t xml:space="preserve">One leading diet soda brand </w:t>
      </w:r>
      <w:r w:rsidR="00127391">
        <w:rPr>
          <w:rFonts w:eastAsiaTheme="majorEastAsia"/>
        </w:rPr>
        <w:t>framing</w:t>
      </w:r>
      <w:r w:rsidRPr="000F3588">
        <w:rPr>
          <w:rFonts w:eastAsiaTheme="majorEastAsia"/>
        </w:rPr>
        <w:t xml:space="preserve"> itself as the drink of choice for professionals and fashion-forward consumers, particularly women. The brand formed partnerships with top designers, integrating high-fashion aesthetics into its advertising. Campaigns such as the famous "midday break" commercials reinforced its image as an everyday essential for busy, stylish individuals. This framing aligned the brand with modernity, sophistication, and an urban lifestyle.</w:t>
      </w:r>
    </w:p>
    <w:p w14:paraId="25735C4C" w14:textId="77777777" w:rsidR="00127391" w:rsidRDefault="000F3588" w:rsidP="000F3588">
      <w:pPr>
        <w:rPr>
          <w:rFonts w:eastAsiaTheme="majorEastAsia"/>
        </w:rPr>
      </w:pPr>
      <w:r w:rsidRPr="000F3588">
        <w:rPr>
          <w:rFonts w:eastAsiaTheme="majorEastAsia"/>
        </w:rPr>
        <w:t>Brand B: The Pop Culture and Entertainment Drink</w:t>
      </w:r>
    </w:p>
    <w:p w14:paraId="35FA2499" w14:textId="55A89A29" w:rsidR="000F3588" w:rsidRPr="000F3588" w:rsidRDefault="000F3588" w:rsidP="000F3588">
      <w:pPr>
        <w:rPr>
          <w:rFonts w:eastAsiaTheme="majorEastAsia"/>
        </w:rPr>
      </w:pPr>
      <w:r w:rsidRPr="000F3588">
        <w:rPr>
          <w:rFonts w:eastAsiaTheme="majorEastAsia"/>
        </w:rPr>
        <w:t>Another major diet soda brand took a different approach by framing itself as the drink of pop culture and celebrity influence. The brand heavily invested in endorsements from A-list stars, integrating music, movies, and entertainment into its messaging. By featuring high-profile celebrities in its campaigns, this brand sought to create a trendy, youthful image that resonated with consumers who valued entertainment and cultural relevance over product attributes such as taste or health benefits.</w:t>
      </w:r>
    </w:p>
    <w:p w14:paraId="301F35BA" w14:textId="680C1D78" w:rsidR="000F3588" w:rsidRPr="00127391" w:rsidRDefault="000F3588" w:rsidP="000F3588">
      <w:pPr>
        <w:rPr>
          <w:rFonts w:eastAsiaTheme="majorEastAsia"/>
          <w:b/>
          <w:bCs/>
        </w:rPr>
      </w:pPr>
      <w:r w:rsidRPr="00127391">
        <w:rPr>
          <w:rFonts w:eastAsiaTheme="majorEastAsia"/>
          <w:b/>
          <w:bCs/>
        </w:rPr>
        <w:t>Impact</w:t>
      </w:r>
    </w:p>
    <w:p w14:paraId="60F9CB95" w14:textId="33D3797C" w:rsidR="000F3588" w:rsidRPr="000F3588" w:rsidRDefault="000F3588" w:rsidP="000F3588">
      <w:pPr>
        <w:rPr>
          <w:rFonts w:eastAsiaTheme="majorEastAsia"/>
        </w:rPr>
      </w:pPr>
      <w:r w:rsidRPr="000F3588">
        <w:rPr>
          <w:rFonts w:eastAsiaTheme="majorEastAsia"/>
        </w:rPr>
        <w:t>Framing diet sodas as lifestyle products helped both brands sustain market presence despite rising health concerns. Brand A maintained its leadership, securing a market share between 8.5% and 10.2%, while Brand B, though trailing, held a stable 4.7% to 5.5%. By reinforcing emotional connections through fashion and entertainment rather than addressing health-related skepticism, both brands retained loyal consumers and mitigated potential market declines.</w:t>
      </w:r>
    </w:p>
    <w:p w14:paraId="380AA533" w14:textId="349DF78E" w:rsidR="000F3588" w:rsidRPr="00127391" w:rsidRDefault="000F3588" w:rsidP="000F3588">
      <w:pPr>
        <w:rPr>
          <w:rFonts w:eastAsiaTheme="majorEastAsia"/>
          <w:b/>
          <w:bCs/>
        </w:rPr>
      </w:pPr>
      <w:r w:rsidRPr="00127391">
        <w:rPr>
          <w:rFonts w:eastAsiaTheme="majorEastAsia"/>
          <w:b/>
          <w:bCs/>
        </w:rPr>
        <w:t>Lessons Learned</w:t>
      </w:r>
    </w:p>
    <w:p w14:paraId="73591BB9" w14:textId="2B2EE4F8" w:rsidR="000F3588" w:rsidRPr="00127391" w:rsidRDefault="000F3588" w:rsidP="00D81274">
      <w:pPr>
        <w:pStyle w:val="ListParagraph"/>
        <w:numPr>
          <w:ilvl w:val="0"/>
          <w:numId w:val="56"/>
        </w:numPr>
        <w:rPr>
          <w:rFonts w:eastAsiaTheme="majorEastAsia"/>
        </w:rPr>
      </w:pPr>
      <w:r w:rsidRPr="00127391">
        <w:rPr>
          <w:rFonts w:eastAsiaTheme="majorEastAsia"/>
        </w:rPr>
        <w:t>Framing shapes consumer perception. Presenting a product as part of an aspirational lifestyle can maintain engagement even in changing markets.</w:t>
      </w:r>
    </w:p>
    <w:p w14:paraId="01C4A72C" w14:textId="4112C487" w:rsidR="000F3588" w:rsidRPr="00127391" w:rsidRDefault="000F3588" w:rsidP="00D81274">
      <w:pPr>
        <w:pStyle w:val="ListParagraph"/>
        <w:numPr>
          <w:ilvl w:val="0"/>
          <w:numId w:val="56"/>
        </w:numPr>
        <w:rPr>
          <w:rFonts w:eastAsiaTheme="majorEastAsia"/>
        </w:rPr>
      </w:pPr>
      <w:r w:rsidRPr="00127391">
        <w:rPr>
          <w:rFonts w:eastAsiaTheme="majorEastAsia"/>
        </w:rPr>
        <w:t>Targeted messaging matters. Brand A's professional appeal and Brand B's pop culture focus resonated with different audiences, ensuring relevance.</w:t>
      </w:r>
    </w:p>
    <w:p w14:paraId="77E11677" w14:textId="76B7C13B" w:rsidR="000F3588" w:rsidRPr="00127391" w:rsidRDefault="000F3588" w:rsidP="00D81274">
      <w:pPr>
        <w:pStyle w:val="ListParagraph"/>
        <w:numPr>
          <w:ilvl w:val="0"/>
          <w:numId w:val="56"/>
        </w:numPr>
        <w:rPr>
          <w:rFonts w:eastAsiaTheme="majorEastAsia"/>
        </w:rPr>
      </w:pPr>
      <w:r w:rsidRPr="00127391">
        <w:rPr>
          <w:rFonts w:eastAsiaTheme="majorEastAsia"/>
        </w:rPr>
        <w:lastRenderedPageBreak/>
        <w:t>Trends evolve. While lifestyle marketing was effective, the shift toward health-conscious choices later required brands to adapt their strategies.</w:t>
      </w:r>
    </w:p>
    <w:p w14:paraId="63451E1F" w14:textId="4BFDD5F0" w:rsidR="00543BC2" w:rsidRPr="00127391" w:rsidRDefault="000F3588" w:rsidP="00127391">
      <w:pPr>
        <w:rPr>
          <w:rFonts w:eastAsiaTheme="majorEastAsia"/>
        </w:rPr>
      </w:pPr>
      <w:r w:rsidRPr="000F3588">
        <w:rPr>
          <w:rFonts w:eastAsiaTheme="majorEastAsia"/>
        </w:rPr>
        <w:t xml:space="preserve">By framing their diet soda products as lifestyle choices rather than health alternatives, both brands successfully retained significant market share in the 2000s, demonstrating the power of strategic </w:t>
      </w:r>
      <w:r w:rsidR="00127391">
        <w:rPr>
          <w:rFonts w:eastAsiaTheme="majorEastAsia"/>
        </w:rPr>
        <w:t>framing</w:t>
      </w:r>
      <w:r w:rsidRPr="000F3588">
        <w:rPr>
          <w:rFonts w:eastAsiaTheme="majorEastAsia"/>
        </w:rPr>
        <w:t xml:space="preserve"> in influencing consumer </w:t>
      </w:r>
      <w:r w:rsidR="00127391">
        <w:rPr>
          <w:rFonts w:eastAsiaTheme="majorEastAsia"/>
        </w:rPr>
        <w:t>decisions</w:t>
      </w:r>
      <w:r w:rsidRPr="000F3588">
        <w:rPr>
          <w:rFonts w:eastAsiaTheme="majorEastAsia"/>
        </w:rPr>
        <w:t>.</w:t>
      </w:r>
    </w:p>
    <w:p w14:paraId="338E0F8A" w14:textId="77777777" w:rsidR="000F51A2" w:rsidRPr="000F51A2" w:rsidRDefault="000F51A2" w:rsidP="000F51A2">
      <w:pPr>
        <w:pStyle w:val="Heading2"/>
      </w:pPr>
      <w:bookmarkStart w:id="26" w:name="_Toc191026917"/>
      <w:bookmarkStart w:id="27" w:name="_Hlk167958240"/>
      <w:bookmarkStart w:id="28" w:name="OLE_LINK2"/>
      <w:bookmarkStart w:id="29" w:name="OLE_LINK3"/>
      <w:r w:rsidRPr="000F51A2">
        <w:t>Representative Heuristic</w:t>
      </w:r>
      <w:bookmarkEnd w:id="26"/>
    </w:p>
    <w:bookmarkEnd w:id="27"/>
    <w:p w14:paraId="0F4CB2DD" w14:textId="016B23A7" w:rsidR="00D97A6A" w:rsidRDefault="00D97A6A" w:rsidP="00D97A6A">
      <w:r>
        <w:t>The representative heuristic, often called stereotype bias, is a mental shortcut where people judge situations based on perceived similarity to a broader category rather than evaluating unique details.</w:t>
      </w:r>
    </w:p>
    <w:p w14:paraId="39512FAF" w14:textId="06435FC4" w:rsidR="00D97A6A" w:rsidRDefault="00D97A6A" w:rsidP="00D97A6A">
      <w:r>
        <w:t>You've seen this pattern before. A hiring manager selects candidates who resemble past high performers on the team. A confident leader pushes a new project, drawing parallels to a previous success with similar uncertainty. Students enroll in a professor’s course simply because a friend enjoyed a different class with the same instructor. That’s the representative heuristic at work. In each case, decisions rely on surface-level patterns rather than a careful assessment of distinct factors. This bias plays out in two major ways:</w:t>
      </w:r>
    </w:p>
    <w:p w14:paraId="7A9F1FAB" w14:textId="77777777" w:rsidR="00D97A6A" w:rsidRDefault="00D97A6A" w:rsidP="00D97A6A">
      <w:r>
        <w:t>Categorization: Grouping Different Situations Together</w:t>
      </w:r>
    </w:p>
    <w:p w14:paraId="127ABDF2" w14:textId="61BD881E" w:rsidR="00D97A6A" w:rsidRDefault="00D97A6A" w:rsidP="00D97A6A">
      <w:r>
        <w:t>When faced with uncertainty, people instinctively rely on familiar narratives. A manager advocating for an expensive new initiative might compare it to past successes with similar uncertainty, conveniently skipping over key differences. "This is just like Project X, and that worked!" But is it, really?</w:t>
      </w:r>
    </w:p>
    <w:p w14:paraId="626B9A07" w14:textId="564424E2" w:rsidR="00D97A6A" w:rsidRDefault="00D97A6A" w:rsidP="00D97A6A">
      <w:r>
        <w:t xml:space="preserve">Past success doesn’t guarantee future results—especially when context, risks, or execution strategy differ. Even experienced decision-makers fall into this trap. Veteran leaders may become emotionally attached to past successes and assume that similar-looking opportunities will yield the same results. </w:t>
      </w:r>
      <w:r>
        <w:lastRenderedPageBreak/>
        <w:t>Inexperienced leaders, on the other hand, may rely on these shortcuts simply because they lack the depth to recognize key differences that determine success or failure.</w:t>
      </w:r>
    </w:p>
    <w:p w14:paraId="5500D78F" w14:textId="77777777" w:rsidR="00D97A6A" w:rsidRDefault="00D97A6A" w:rsidP="00D97A6A">
      <w:r>
        <w:t>Selective Sequencing: Shaping Perception Through Order</w:t>
      </w:r>
    </w:p>
    <w:p w14:paraId="51563F05" w14:textId="5DFDEC06" w:rsidR="00D97A6A" w:rsidRDefault="00D97A6A" w:rsidP="00D97A6A">
      <w:r>
        <w:t xml:space="preserve">The way information is presented shapes perception—and sometimes, it’s intentional. A product manager unveiling a new AI program might start with exciting market trends, cutting-edge features, and glowing early reviews. Only after investors and executives become enthusiastic does the conversation shift to high production costs and </w:t>
      </w:r>
      <w:r w:rsidR="004C4766">
        <w:t>data security</w:t>
      </w:r>
      <w:r>
        <w:t xml:space="preserve"> </w:t>
      </w:r>
      <w:r w:rsidR="004C4766">
        <w:t>risk</w:t>
      </w:r>
      <w:r>
        <w:t>—but by then, these concerns feel like minor hurdles rather than deal-breakers.</w:t>
      </w:r>
    </w:p>
    <w:p w14:paraId="2C8DBBC4" w14:textId="56D74E4E" w:rsidR="00D97A6A" w:rsidRDefault="00D97A6A" w:rsidP="00D97A6A">
      <w:r>
        <w:t xml:space="preserve">By structuring information this way, the initial positive framing leads stakeholders to categorize the initiative as a " </w:t>
      </w:r>
      <w:r w:rsidR="004C4766">
        <w:t xml:space="preserve">blue-sky </w:t>
      </w:r>
      <w:r>
        <w:t xml:space="preserve">product" before fully analyzing </w:t>
      </w:r>
      <w:r w:rsidR="004C4766">
        <w:t>specific</w:t>
      </w:r>
      <w:r>
        <w:t xml:space="preserve"> challenges. Once something is labeled "</w:t>
      </w:r>
      <w:r w:rsidR="004C4766">
        <w:t xml:space="preserve">breakthrough </w:t>
      </w:r>
      <w:r>
        <w:t>" or "game-changing," reassessing it with fresh scrutiny becomes significantly harder.</w:t>
      </w:r>
    </w:p>
    <w:bookmarkEnd w:id="28"/>
    <w:bookmarkEnd w:id="29"/>
    <w:p w14:paraId="6B833D20" w14:textId="3470C265" w:rsidR="00C31CFD" w:rsidRPr="00C31CFD" w:rsidRDefault="00C31CFD" w:rsidP="00CA6DE3">
      <w:pPr>
        <w:pStyle w:val="Heading3"/>
      </w:pPr>
      <w:r w:rsidRPr="00C31CFD">
        <w:t>Navigat</w:t>
      </w:r>
      <w:r w:rsidR="006C27C2">
        <w:t>e</w:t>
      </w:r>
      <w:r w:rsidRPr="00C31CFD">
        <w:t xml:space="preserve"> Stereotype Bias</w:t>
      </w:r>
    </w:p>
    <w:p w14:paraId="62DE4A46" w14:textId="0BEE93B5" w:rsidR="00CB0E4C" w:rsidRPr="00CB0E4C" w:rsidRDefault="00CB0E4C" w:rsidP="00CB0E4C">
      <w:pPr>
        <w:rPr>
          <w:rFonts w:eastAsiaTheme="majorEastAsia"/>
        </w:rPr>
      </w:pPr>
      <w:bookmarkStart w:id="30" w:name="_Hlk168041169"/>
      <w:r w:rsidRPr="00CB0E4C">
        <w:rPr>
          <w:rFonts w:eastAsiaTheme="majorEastAsia"/>
        </w:rPr>
        <w:t>Overcoming stereotype bias starts with awareness—recognizing when it creeps in and resisting the urge to categorize a decision before fully evaluating it. Instead of relying on mental shortcuts, decision-makers should adopt a structured approach that prioritizes facts over assumptions. There are two key ways to navigate this bias: fact-based judgment and subject matter expert (SME) involvement.</w:t>
      </w:r>
    </w:p>
    <w:p w14:paraId="04D44C01" w14:textId="481E7503" w:rsidR="00CB0E4C" w:rsidRPr="00CB0E4C" w:rsidRDefault="00CB0E4C" w:rsidP="00CB0E4C">
      <w:pPr>
        <w:rPr>
          <w:rFonts w:eastAsiaTheme="majorEastAsia"/>
        </w:rPr>
      </w:pPr>
      <w:r w:rsidRPr="00CB0E4C">
        <w:rPr>
          <w:rFonts w:eastAsiaTheme="majorEastAsia"/>
        </w:rPr>
        <w:t xml:space="preserve">Fact-Based Judgment: A structured decision-making process grounded in fact analysis helps counter the </w:t>
      </w:r>
      <w:r w:rsidR="006E6621">
        <w:rPr>
          <w:rFonts w:eastAsiaTheme="majorEastAsia"/>
        </w:rPr>
        <w:t xml:space="preserve">human </w:t>
      </w:r>
      <w:r w:rsidRPr="00CB0E4C">
        <w:rPr>
          <w:rFonts w:eastAsiaTheme="majorEastAsia"/>
        </w:rPr>
        <w:t xml:space="preserve">impulse to </w:t>
      </w:r>
      <w:r w:rsidR="006E6621">
        <w:rPr>
          <w:rFonts w:eastAsiaTheme="majorEastAsia"/>
        </w:rPr>
        <w:t>take</w:t>
      </w:r>
      <w:r w:rsidRPr="00CB0E4C">
        <w:rPr>
          <w:rFonts w:eastAsiaTheme="majorEastAsia"/>
        </w:rPr>
        <w:t xml:space="preserve"> categorization shortcuts. By focusing on the specific details of a situation—its value, cost, risks, and success factors—decision-makers gain deeper insights and move beyond generalized assumptions. This fact-driven approach leads to evidence-based decisions rather than ones shaped by stereotypes.</w:t>
      </w:r>
    </w:p>
    <w:p w14:paraId="637594A3" w14:textId="0231569A" w:rsidR="00CB0E4C" w:rsidRPr="00CB0E4C" w:rsidRDefault="00CB0E4C" w:rsidP="00CB0E4C">
      <w:pPr>
        <w:rPr>
          <w:rFonts w:eastAsiaTheme="majorEastAsia"/>
        </w:rPr>
      </w:pPr>
      <w:r w:rsidRPr="00CB0E4C">
        <w:rPr>
          <w:rFonts w:eastAsiaTheme="majorEastAsia"/>
        </w:rPr>
        <w:lastRenderedPageBreak/>
        <w:t>SME Involvement: Engaging experts with relevant knowledge and experience introduces diverse perspectives, reducing the risk of a single narrative dominating the decision. SMEs help challenge biases, providing a broader, more balanced evaluation of the situation. The result? More informed, well-rounded choices.</w:t>
      </w:r>
    </w:p>
    <w:p w14:paraId="74463CFC" w14:textId="610D4DF5" w:rsidR="004C4766" w:rsidRDefault="006E6621" w:rsidP="00CB0E4C">
      <w:pPr>
        <w:rPr>
          <w:rFonts w:eastAsiaTheme="majorEastAsia"/>
        </w:rPr>
      </w:pPr>
      <w:r w:rsidRPr="006E6621">
        <w:rPr>
          <w:rFonts w:eastAsiaTheme="majorEastAsia"/>
        </w:rPr>
        <w:t xml:space="preserve">By actively applying these strategies, leaders can break free from stereotype bias and </w:t>
      </w:r>
      <w:r>
        <w:rPr>
          <w:rFonts w:eastAsiaTheme="majorEastAsia"/>
        </w:rPr>
        <w:t>enable</w:t>
      </w:r>
      <w:r w:rsidRPr="006E6621">
        <w:rPr>
          <w:rFonts w:eastAsiaTheme="majorEastAsia"/>
        </w:rPr>
        <w:t xml:space="preserve"> their decisions are guided by facts, not assumptions. A structured approach </w:t>
      </w:r>
      <w:r>
        <w:rPr>
          <w:rFonts w:eastAsiaTheme="majorEastAsia"/>
        </w:rPr>
        <w:t xml:space="preserve">also </w:t>
      </w:r>
      <w:r w:rsidRPr="006E6621">
        <w:rPr>
          <w:rFonts w:eastAsiaTheme="majorEastAsia"/>
        </w:rPr>
        <w:t>ensures decision-makers can still act decisively based on well-rounded facts when the situation demands it, rather than getting caught in unnecessary complexity</w:t>
      </w:r>
      <w:r w:rsidR="004C4766" w:rsidRPr="004C4766">
        <w:rPr>
          <w:rFonts w:eastAsiaTheme="majorEastAsia"/>
        </w:rPr>
        <w:t>.</w:t>
      </w:r>
    </w:p>
    <w:p w14:paraId="5D4339A1" w14:textId="6EDC1549" w:rsidR="000C0495" w:rsidRPr="000C0495" w:rsidRDefault="000C0495" w:rsidP="00D47EF7">
      <w:pPr>
        <w:pStyle w:val="Heading3"/>
      </w:pPr>
      <w:r w:rsidRPr="000C0495">
        <w:t xml:space="preserve">Business Case: </w:t>
      </w:r>
      <w:r w:rsidR="00543BC2">
        <w:t xml:space="preserve">Biased </w:t>
      </w:r>
      <w:r w:rsidRPr="000C0495">
        <w:t>Promotion Decision</w:t>
      </w:r>
      <w:r w:rsidR="00543BC2">
        <w:t>-</w:t>
      </w:r>
      <w:r w:rsidR="003B59D8">
        <w:t>M</w:t>
      </w:r>
      <w:r w:rsidR="00543BC2">
        <w:t>aking</w:t>
      </w:r>
    </w:p>
    <w:p w14:paraId="6173E796" w14:textId="6E1AE36C" w:rsidR="0063714E" w:rsidRPr="0063714E" w:rsidRDefault="0063714E" w:rsidP="0063714E">
      <w:pPr>
        <w:rPr>
          <w:rFonts w:eastAsiaTheme="majorEastAsia"/>
        </w:rPr>
      </w:pPr>
      <w:r w:rsidRPr="0063714E">
        <w:rPr>
          <w:rFonts w:eastAsiaTheme="majorEastAsia"/>
        </w:rPr>
        <w:t xml:space="preserve">Most companies evaluate employees for promotion using two key dimensions: performance and culture fit. While performance can often be measured objectively, culture fit is far more subjective, making it vulnerable to stereotype bias. </w:t>
      </w:r>
    </w:p>
    <w:p w14:paraId="244E6D6A" w14:textId="22F373FE" w:rsidR="0063714E" w:rsidRPr="0063714E" w:rsidRDefault="0063714E" w:rsidP="0063714E">
      <w:pPr>
        <w:rPr>
          <w:rFonts w:eastAsiaTheme="majorEastAsia"/>
          <w:b/>
          <w:bCs/>
        </w:rPr>
      </w:pPr>
      <w:r w:rsidRPr="0063714E">
        <w:rPr>
          <w:rFonts w:eastAsiaTheme="majorEastAsia"/>
          <w:b/>
          <w:bCs/>
        </w:rPr>
        <w:t>Stereotype Bias at Play</w:t>
      </w:r>
    </w:p>
    <w:p w14:paraId="70E9E6BF" w14:textId="197E04C9" w:rsidR="0063714E" w:rsidRPr="0063714E" w:rsidRDefault="0063714E" w:rsidP="0063714E">
      <w:pPr>
        <w:rPr>
          <w:rFonts w:eastAsiaTheme="majorEastAsia"/>
        </w:rPr>
      </w:pPr>
      <w:r w:rsidRPr="0063714E">
        <w:rPr>
          <w:rFonts w:eastAsiaTheme="majorEastAsia"/>
        </w:rPr>
        <w:t>Many organizations define leadership based on predictability, stability, and alignment with existing company culture. Employees who challenge norms—whether through unconventional thinking, risk-taking, or questioning outdated processes—may be seen as “not ready” for leadership, even if the</w:t>
      </w:r>
      <w:r w:rsidR="00FB255E">
        <w:rPr>
          <w:rFonts w:eastAsiaTheme="majorEastAsia"/>
        </w:rPr>
        <w:t>ir bold initiatives</w:t>
      </w:r>
      <w:r w:rsidRPr="0063714E">
        <w:rPr>
          <w:rFonts w:eastAsiaTheme="majorEastAsia"/>
        </w:rPr>
        <w:t xml:space="preserve"> drive strong results.</w:t>
      </w:r>
      <w:r w:rsidR="00FB255E" w:rsidRPr="00FB255E">
        <w:rPr>
          <w:rFonts w:eastAsiaTheme="majorEastAsia"/>
        </w:rPr>
        <w:t xml:space="preserve"> </w:t>
      </w:r>
    </w:p>
    <w:p w14:paraId="584621E6" w14:textId="17BA6B61" w:rsidR="0063714E" w:rsidRPr="0063714E" w:rsidRDefault="0063714E" w:rsidP="0063714E">
      <w:pPr>
        <w:rPr>
          <w:rFonts w:eastAsiaTheme="majorEastAsia"/>
        </w:rPr>
      </w:pPr>
      <w:r w:rsidRPr="0063714E">
        <w:rPr>
          <w:rFonts w:eastAsiaTheme="majorEastAsia"/>
        </w:rPr>
        <w:t xml:space="preserve">Companies often hesitate to promote </w:t>
      </w:r>
      <w:r>
        <w:rPr>
          <w:rFonts w:eastAsiaTheme="majorEastAsia"/>
        </w:rPr>
        <w:t xml:space="preserve">these </w:t>
      </w:r>
      <w:r w:rsidRPr="0063714E">
        <w:rPr>
          <w:rFonts w:eastAsiaTheme="majorEastAsia"/>
        </w:rPr>
        <w:t xml:space="preserve">employees who push boundaries because they introduce uncertainty. A data-driven strategist who challenges gut-based decision-making or an engineer who advocates for disruptive technology might be passed over in favor of </w:t>
      </w:r>
      <w:r w:rsidR="00FB255E">
        <w:rPr>
          <w:rFonts w:eastAsiaTheme="majorEastAsia"/>
        </w:rPr>
        <w:t>predictable</w:t>
      </w:r>
      <w:r w:rsidR="00FB255E" w:rsidRPr="0063714E">
        <w:rPr>
          <w:rFonts w:eastAsiaTheme="majorEastAsia"/>
        </w:rPr>
        <w:t xml:space="preserve"> </w:t>
      </w:r>
      <w:r w:rsidR="00FB255E">
        <w:rPr>
          <w:rFonts w:eastAsiaTheme="majorEastAsia"/>
        </w:rPr>
        <w:t>performers</w:t>
      </w:r>
      <w:r w:rsidRPr="0063714E">
        <w:rPr>
          <w:rFonts w:eastAsiaTheme="majorEastAsia"/>
        </w:rPr>
        <w:t xml:space="preserve"> who </w:t>
      </w:r>
      <w:r w:rsidR="00FB255E">
        <w:rPr>
          <w:rFonts w:eastAsiaTheme="majorEastAsia"/>
        </w:rPr>
        <w:t>make incremental improvements that create modest value but with minimum risks</w:t>
      </w:r>
      <w:r w:rsidRPr="0063714E">
        <w:rPr>
          <w:rFonts w:eastAsiaTheme="majorEastAsia"/>
        </w:rPr>
        <w:t>.</w:t>
      </w:r>
    </w:p>
    <w:p w14:paraId="158F5FC8" w14:textId="06575AB7" w:rsidR="0063714E" w:rsidRPr="00FB255E" w:rsidRDefault="00FB255E" w:rsidP="0063714E">
      <w:pPr>
        <w:rPr>
          <w:rFonts w:eastAsiaTheme="majorEastAsia"/>
          <w:b/>
          <w:bCs/>
        </w:rPr>
      </w:pPr>
      <w:r w:rsidRPr="00FB255E">
        <w:rPr>
          <w:rFonts w:eastAsiaTheme="majorEastAsia"/>
          <w:b/>
          <w:bCs/>
        </w:rPr>
        <w:t>Impact</w:t>
      </w:r>
    </w:p>
    <w:p w14:paraId="09C5A86E" w14:textId="5F5CFEBE" w:rsidR="00FB255E" w:rsidRDefault="00FB255E" w:rsidP="0063714E">
      <w:pPr>
        <w:rPr>
          <w:rFonts w:eastAsiaTheme="majorEastAsia"/>
        </w:rPr>
      </w:pPr>
      <w:r w:rsidRPr="00FB255E">
        <w:rPr>
          <w:rFonts w:eastAsiaTheme="majorEastAsia"/>
        </w:rPr>
        <w:lastRenderedPageBreak/>
        <w:t>Stereotype bias in promotions can weaken decision-making and slow innovation by reinforcing outdated leadership models. For example, companies that favor traditional leadership traits over adaptability and problem-solving</w:t>
      </w:r>
      <w:r>
        <w:rPr>
          <w:rFonts w:eastAsiaTheme="majorEastAsia"/>
        </w:rPr>
        <w:t xml:space="preserve"> </w:t>
      </w:r>
      <w:r w:rsidRPr="00FB255E">
        <w:rPr>
          <w:rFonts w:eastAsiaTheme="majorEastAsia"/>
        </w:rPr>
        <w:t>struggle to keep pace with industry changes. Research shows that organizations with diverse leadership styles innovate 30% faster and outperform competitors (Harvard Business Review, 2023).</w:t>
      </w:r>
    </w:p>
    <w:p w14:paraId="2DD03E4E" w14:textId="77777777" w:rsidR="00241762" w:rsidRPr="00543BC2" w:rsidRDefault="00241762" w:rsidP="00241762">
      <w:pPr>
        <w:rPr>
          <w:rFonts w:eastAsiaTheme="majorEastAsia"/>
          <w:b/>
          <w:bCs/>
        </w:rPr>
      </w:pPr>
      <w:r w:rsidRPr="00543BC2">
        <w:rPr>
          <w:rFonts w:eastAsiaTheme="majorEastAsia"/>
          <w:b/>
          <w:bCs/>
        </w:rPr>
        <w:t xml:space="preserve">Lessons Learned </w:t>
      </w:r>
    </w:p>
    <w:p w14:paraId="2BC826A9" w14:textId="1A208766" w:rsidR="007B6D5C" w:rsidRPr="007B6D5C" w:rsidRDefault="007B6D5C" w:rsidP="007B6D5C">
      <w:pPr>
        <w:pStyle w:val="ListParagraph"/>
        <w:numPr>
          <w:ilvl w:val="0"/>
          <w:numId w:val="12"/>
        </w:numPr>
        <w:rPr>
          <w:rFonts w:eastAsiaTheme="majorEastAsia"/>
        </w:rPr>
      </w:pPr>
      <w:r w:rsidRPr="007B6D5C">
        <w:rPr>
          <w:rFonts w:eastAsiaTheme="majorEastAsia"/>
        </w:rPr>
        <w:t>Challenge First Impressions: Avoid labeling employees as “not leadership material” based on how closely they resemble past leaders. That’s stereotype bias in action.</w:t>
      </w:r>
    </w:p>
    <w:p w14:paraId="04839DC0" w14:textId="77777777" w:rsidR="007B6D5C" w:rsidRPr="007B6D5C" w:rsidRDefault="007B6D5C" w:rsidP="007B6D5C">
      <w:pPr>
        <w:pStyle w:val="ListParagraph"/>
        <w:numPr>
          <w:ilvl w:val="0"/>
          <w:numId w:val="12"/>
        </w:numPr>
        <w:rPr>
          <w:rFonts w:eastAsiaTheme="majorEastAsia"/>
        </w:rPr>
      </w:pPr>
      <w:r w:rsidRPr="007B6D5C">
        <w:rPr>
          <w:rFonts w:eastAsiaTheme="majorEastAsia"/>
        </w:rPr>
        <w:t>Watch for Style-Based Assumptions: If someone </w:t>
      </w:r>
      <w:r w:rsidRPr="007B6D5C">
        <w:rPr>
          <w:rFonts w:eastAsiaTheme="majorEastAsia"/>
          <w:i/>
          <w:iCs/>
        </w:rPr>
        <w:t>feels</w:t>
      </w:r>
      <w:r w:rsidRPr="007B6D5C">
        <w:rPr>
          <w:rFonts w:eastAsiaTheme="majorEastAsia"/>
        </w:rPr>
        <w:t> less promotable because they’re quiet, unconventional, or take a different approach, pause. That reaction may reflect a stereotype—not their actual potential or impact.</w:t>
      </w:r>
    </w:p>
    <w:p w14:paraId="2CD3EB08" w14:textId="18AB9344" w:rsidR="00AE1D18" w:rsidRPr="007B6D5C" w:rsidRDefault="007B6D5C" w:rsidP="007B6D5C">
      <w:pPr>
        <w:pStyle w:val="ListParagraph"/>
        <w:numPr>
          <w:ilvl w:val="0"/>
          <w:numId w:val="12"/>
        </w:numPr>
        <w:rPr>
          <w:rFonts w:eastAsiaTheme="majorEastAsia"/>
        </w:rPr>
      </w:pPr>
      <w:r w:rsidRPr="007B6D5C">
        <w:rPr>
          <w:rFonts w:eastAsiaTheme="majorEastAsia"/>
        </w:rPr>
        <w:t>Define Culture Fit with Substance: Don’t let vague notions of “fit” mask a preference for the familiar. Tie culture fit to values like adaptability, integrity, or initiative—not personality or style.</w:t>
      </w:r>
    </w:p>
    <w:p w14:paraId="0D12AD73" w14:textId="4AEDA941" w:rsidR="00F40A17" w:rsidRPr="00F40A17" w:rsidRDefault="00AB1851" w:rsidP="00F40A17">
      <w:pPr>
        <w:pStyle w:val="Heading2"/>
      </w:pPr>
      <w:bookmarkStart w:id="31" w:name="_Toc191026918"/>
      <w:bookmarkEnd w:id="30"/>
      <w:r>
        <w:t>Cognitive</w:t>
      </w:r>
      <w:r w:rsidR="00F40A17" w:rsidRPr="00F40A17">
        <w:t xml:space="preserve"> Biases</w:t>
      </w:r>
      <w:r>
        <w:t xml:space="preserve"> Summary</w:t>
      </w:r>
      <w:bookmarkEnd w:id="31"/>
    </w:p>
    <w:bookmarkEnd w:id="20"/>
    <w:p w14:paraId="611CD9F8" w14:textId="56482D12" w:rsidR="007B6D5C" w:rsidRDefault="007B6D5C" w:rsidP="007B6D5C">
      <w:r>
        <w:t>Cognitive biases are mental shortcuts that help us make quick judgments in complex, uncertain environments. They enable us to process information efficiently when time or data is limited. However, these same shortcuts can also lead to flawed conclusions if left unchecked. To make better decisions, we must be aware of these biases and manage our intuition with deliberate reflection.</w:t>
      </w:r>
    </w:p>
    <w:p w14:paraId="2AE2FABA" w14:textId="77777777" w:rsidR="007B6D5C" w:rsidRDefault="007B6D5C" w:rsidP="007B6D5C">
      <w:r>
        <w:t>Confirmation Bias leads us to favor information that supports what we already believe, making it harder to see alternative perspectives.</w:t>
      </w:r>
    </w:p>
    <w:p w14:paraId="157EB18E" w14:textId="77777777" w:rsidR="007B6D5C" w:rsidRDefault="007B6D5C" w:rsidP="007B6D5C">
      <w:r>
        <w:t>Anchoring Bias causes early information to disproportionately shape our judgments, even when better data becomes available later.</w:t>
      </w:r>
    </w:p>
    <w:p w14:paraId="4776E037" w14:textId="5A9B5E54" w:rsidR="007B6D5C" w:rsidRDefault="007B6D5C" w:rsidP="007B6D5C">
      <w:r>
        <w:lastRenderedPageBreak/>
        <w:t>Framing Bias affects how we interpret choices based on how they’re presented—positively or negatively—rather than on their actual substance.</w:t>
      </w:r>
    </w:p>
    <w:p w14:paraId="36847BB7" w14:textId="77777777" w:rsidR="007B6D5C" w:rsidRDefault="007B6D5C" w:rsidP="007B6D5C">
      <w:r>
        <w:t>Stereotype Bias drives us to rely on generalized patterns when evaluating people or situations, often at the expense of understanding their unique qualities.</w:t>
      </w:r>
    </w:p>
    <w:p w14:paraId="0BCC4839" w14:textId="138AFE3D" w:rsidR="00AB1851" w:rsidRDefault="007B6D5C" w:rsidP="007B6D5C">
      <w:r>
        <w:t>By recognizing these patterns, we can use intuition more wisely—and make decisions that are not only faster, but also smarter.</w:t>
      </w:r>
      <w:r w:rsidR="00AB1851">
        <w:br w:type="page"/>
      </w:r>
    </w:p>
    <w:p w14:paraId="7A3610F9" w14:textId="0E5076CE" w:rsidR="00AB1851" w:rsidRDefault="00AB1851" w:rsidP="00AB1851">
      <w:pPr>
        <w:pStyle w:val="Heading1"/>
      </w:pPr>
      <w:bookmarkStart w:id="32" w:name="_Toc191026919"/>
      <w:bookmarkStart w:id="33" w:name="_Hlk171330418"/>
      <w:r w:rsidRPr="00AB1851">
        <w:lastRenderedPageBreak/>
        <w:t xml:space="preserve">Common </w:t>
      </w:r>
      <w:r>
        <w:t>Business J</w:t>
      </w:r>
      <w:r w:rsidRPr="00AB1851">
        <w:t xml:space="preserve">udgment </w:t>
      </w:r>
      <w:r>
        <w:t>F</w:t>
      </w:r>
      <w:r w:rsidRPr="00AB1851">
        <w:t>allacies</w:t>
      </w:r>
      <w:bookmarkEnd w:id="32"/>
      <w:r w:rsidR="001B2C19">
        <w:t xml:space="preserve"> </w:t>
      </w:r>
    </w:p>
    <w:p w14:paraId="03360C70" w14:textId="77777777" w:rsidR="00D73088" w:rsidRPr="00D73088" w:rsidRDefault="00D73088" w:rsidP="00D73088">
      <w:pPr>
        <w:rPr>
          <w:rFonts w:eastAsiaTheme="majorEastAsia"/>
        </w:rPr>
      </w:pPr>
      <w:r w:rsidRPr="00D73088">
        <w:rPr>
          <w:rFonts w:eastAsiaTheme="majorEastAsia"/>
        </w:rPr>
        <w:t>In uncertain business situations, decision-makers often fall prey to psychological biases that can skew their judgment. Understanding these biases is crucial for making better decisions and achieving successful outcomes. Four common judgment fallacies that frequently arise in business include the endowment effect, status quo bias, escalation of commitment, and mental accounting.</w:t>
      </w:r>
    </w:p>
    <w:p w14:paraId="4B87CF65" w14:textId="77777777" w:rsidR="00D73088" w:rsidRPr="00D73088" w:rsidRDefault="00D73088" w:rsidP="00D73088">
      <w:pPr>
        <w:rPr>
          <w:rFonts w:eastAsiaTheme="majorEastAsia"/>
        </w:rPr>
      </w:pPr>
      <w:r w:rsidRPr="00D73088">
        <w:rPr>
          <w:rFonts w:eastAsiaTheme="majorEastAsia"/>
        </w:rPr>
        <w:t>The endowment Effect occurs when people overvalue what they own, leading to inflated prices that can hinder negotiations. For example, a business owner might price their proprietary technology too high simply because they developed it, making it difficult to close deals. Recognizing this bias helps in setting more realistic prices.</w:t>
      </w:r>
    </w:p>
    <w:p w14:paraId="342C4410" w14:textId="7EA2BAB1" w:rsidR="00D73088" w:rsidRPr="00D73088" w:rsidRDefault="00D73088" w:rsidP="00D73088">
      <w:pPr>
        <w:rPr>
          <w:rFonts w:eastAsiaTheme="majorEastAsia"/>
        </w:rPr>
      </w:pPr>
      <w:r w:rsidRPr="00D73088">
        <w:rPr>
          <w:rFonts w:eastAsiaTheme="majorEastAsia"/>
        </w:rPr>
        <w:t xml:space="preserve">Status Quo Bias: People resist change, even when it could lead to better results. The bias might </w:t>
      </w:r>
      <w:r w:rsidR="003E7C7C">
        <w:rPr>
          <w:rFonts w:eastAsiaTheme="majorEastAsia"/>
        </w:rPr>
        <w:t>be considered</w:t>
      </w:r>
      <w:r w:rsidRPr="00D73088">
        <w:rPr>
          <w:rFonts w:eastAsiaTheme="majorEastAsia"/>
        </w:rPr>
        <w:t xml:space="preserve"> a reluctance to adopt new strategies or technologies in business. Overcoming this bias </w:t>
      </w:r>
      <w:r w:rsidR="003E7C7C">
        <w:rPr>
          <w:rFonts w:eastAsiaTheme="majorEastAsia"/>
        </w:rPr>
        <w:t>enables</w:t>
      </w:r>
      <w:r w:rsidRPr="00D73088">
        <w:rPr>
          <w:rFonts w:eastAsiaTheme="majorEastAsia"/>
        </w:rPr>
        <w:t xml:space="preserve"> innovation and growth.</w:t>
      </w:r>
    </w:p>
    <w:p w14:paraId="213BF9A6" w14:textId="77777777" w:rsidR="00D73088" w:rsidRPr="00D73088" w:rsidRDefault="00D73088" w:rsidP="00D73088">
      <w:pPr>
        <w:rPr>
          <w:rFonts w:eastAsiaTheme="majorEastAsia"/>
        </w:rPr>
      </w:pPr>
      <w:r w:rsidRPr="00D73088">
        <w:rPr>
          <w:rFonts w:eastAsiaTheme="majorEastAsia"/>
        </w:rPr>
        <w:t>Escalation of Commitment: This bias involves continuing to invest in a failing decision, often due to a desire to justify past investments. For example, a company might keep funding a project that is unlikely to succeed because they have already invested heavily. Recognizing this can help decision-makers cut losses and focus resources on more promising ventures.</w:t>
      </w:r>
    </w:p>
    <w:p w14:paraId="14E514FF" w14:textId="77777777" w:rsidR="00D73088" w:rsidRPr="00D73088" w:rsidRDefault="00D73088" w:rsidP="00D73088">
      <w:pPr>
        <w:rPr>
          <w:rFonts w:eastAsiaTheme="majorEastAsia"/>
        </w:rPr>
      </w:pPr>
      <w:r w:rsidRPr="00D73088">
        <w:rPr>
          <w:rFonts w:eastAsiaTheme="majorEastAsia"/>
        </w:rPr>
        <w:t>Mental Accounting refers to the tendency to treat money differently depending on its source or intended use rather than viewing it as a whole. In business, this can lead to poor financial decisions, such as overspending in one department while underfunding another critical area. Understanding this bias can help companies allocate resources more effectively.</w:t>
      </w:r>
    </w:p>
    <w:p w14:paraId="219D56B4" w14:textId="01318616" w:rsidR="00887DD4" w:rsidRDefault="00D73088" w:rsidP="00D73088">
      <w:pPr>
        <w:rPr>
          <w:rFonts w:eastAsiaTheme="majorEastAsia"/>
        </w:rPr>
      </w:pPr>
      <w:r w:rsidRPr="00D73088">
        <w:rPr>
          <w:rFonts w:eastAsiaTheme="majorEastAsia"/>
        </w:rPr>
        <w:t>By recognizing and addressing these common fallacies, decision-makers can avoid pitfalls and make more informed choices</w:t>
      </w:r>
      <w:r w:rsidR="00241D5C" w:rsidRPr="00241D5C">
        <w:rPr>
          <w:rFonts w:eastAsiaTheme="majorEastAsia"/>
        </w:rPr>
        <w:t>.</w:t>
      </w:r>
    </w:p>
    <w:p w14:paraId="550CB533" w14:textId="7B058EBB" w:rsidR="00BD13C2" w:rsidRDefault="00BD13C2" w:rsidP="00AB1851">
      <w:pPr>
        <w:pStyle w:val="Heading2"/>
      </w:pPr>
      <w:bookmarkStart w:id="34" w:name="_Toc191026920"/>
      <w:r w:rsidRPr="00BD13C2">
        <w:lastRenderedPageBreak/>
        <w:t>Endowment Effect</w:t>
      </w:r>
      <w:r w:rsidR="002B7DCF">
        <w:t>: How Ownership Influences Asset Valuation</w:t>
      </w:r>
      <w:bookmarkEnd w:id="34"/>
    </w:p>
    <w:p w14:paraId="4BA5AD27" w14:textId="77777777" w:rsidR="00C44B16" w:rsidRDefault="00C44B16" w:rsidP="00C44B16">
      <w:bookmarkStart w:id="35" w:name="_Hlk168056770"/>
      <w:r>
        <w:t>The Endowment Effect explains why owners often overvalue their possessions compared to potential buyers. This difference in valuation arises because owners develop an emotional attachment to their assets, while buyers assess value more objectively, focusing on market price and practical considerations.</w:t>
      </w:r>
    </w:p>
    <w:p w14:paraId="2DF081DE" w14:textId="77777777" w:rsidR="00C44B16" w:rsidRDefault="00C44B16" w:rsidP="00C44B16">
      <w:r>
        <w:t>One classic example is the Coffee Cup Experiment conducted in the late 1970s by Richard Thaler and Daniel Kahneman. In this study, Cornell students were divided into two groups—one received coffee cups, and the other did not. When asked to set prices, sellers (those with cups) demanded $5.25 on average, while buyers were only willing to pay around half that amount. This experiment demonstrates how ownership inflates perceived value.</w:t>
      </w:r>
    </w:p>
    <w:p w14:paraId="7EB2ED2C" w14:textId="2B0EBA4A" w:rsidR="00C44B16" w:rsidRDefault="00C44B16" w:rsidP="00C44B16">
      <w:r>
        <w:t xml:space="preserve">In the real world, this effect is </w:t>
      </w:r>
      <w:r w:rsidR="003E7C7C">
        <w:t>expected</w:t>
      </w:r>
      <w:r>
        <w:t xml:space="preserve"> in purchasing negotiations:</w:t>
      </w:r>
    </w:p>
    <w:p w14:paraId="3141B4C9" w14:textId="77777777" w:rsidR="00C44B16" w:rsidRDefault="00C44B16" w:rsidP="00C44B16">
      <w:r>
        <w:t xml:space="preserve">Real Estate: Homeowners often overprice their houses because of personal attachments and memories. However, potential buyers rarely recognize these emotional properties as they focus instead on comparable market values and the cost of potential renovations. </w:t>
      </w:r>
    </w:p>
    <w:p w14:paraId="40C149FA" w14:textId="77777777" w:rsidR="00C44B16" w:rsidRDefault="00C44B16" w:rsidP="00C44B16">
      <w:r>
        <w:t>Used Car Sales: Sellers tend to overvalue their vehicles due to personal experiences, while buyers focus on the car's age and condition, resulting in a significant difference in perceived value.</w:t>
      </w:r>
    </w:p>
    <w:p w14:paraId="431D07D6" w14:textId="523FD62F" w:rsidR="00241D5C" w:rsidRDefault="00C44B16" w:rsidP="00C44B16">
      <w:r>
        <w:t>These examples show how the endowment effect can create negotiation challenges, as owners' emotional investments lead to higher perceived values than the market supports</w:t>
      </w:r>
      <w:r w:rsidR="00241D5C">
        <w:t>.</w:t>
      </w:r>
    </w:p>
    <w:p w14:paraId="4E782314" w14:textId="20AC3F07" w:rsidR="00C1200E" w:rsidRPr="00C1200E" w:rsidRDefault="00C1200E" w:rsidP="001063D1">
      <w:pPr>
        <w:pStyle w:val="Heading3"/>
      </w:pPr>
      <w:bookmarkStart w:id="36" w:name="_Hlk168131818"/>
      <w:bookmarkEnd w:id="35"/>
      <w:r w:rsidRPr="00C1200E">
        <w:t>Amplified Endowment Effect</w:t>
      </w:r>
    </w:p>
    <w:p w14:paraId="0B38E097" w14:textId="77777777" w:rsidR="00C44B16" w:rsidRDefault="00C44B16" w:rsidP="00C44B16">
      <w:pPr>
        <w:rPr>
          <w:rFonts w:eastAsiaTheme="majorEastAsia"/>
        </w:rPr>
      </w:pPr>
      <w:r w:rsidRPr="00C44B16">
        <w:rPr>
          <w:rFonts w:eastAsiaTheme="majorEastAsia"/>
        </w:rPr>
        <w:t>The endowment effect becomes even more pronounced with intangible assets like consulting services, technology, and intellectual property. Owners of these assets often value them far more than potential buyers, leading to significant pricing disparities.</w:t>
      </w:r>
    </w:p>
    <w:p w14:paraId="4581ABF7" w14:textId="258F72EE" w:rsidR="00C44B16" w:rsidRPr="00C44B16" w:rsidRDefault="00C44B16" w:rsidP="00C44B16">
      <w:pPr>
        <w:rPr>
          <w:rFonts w:eastAsiaTheme="majorEastAsia"/>
        </w:rPr>
      </w:pPr>
      <w:r w:rsidRPr="00C44B16">
        <w:rPr>
          <w:rFonts w:eastAsiaTheme="majorEastAsia"/>
        </w:rPr>
        <w:lastRenderedPageBreak/>
        <w:t>A well-known example is Richard Thaler's 1999 experiment with Chicago Bulls tickets. Fans who received tickets were unwilling to sell them for less than $1,900, while those without tickets would only pay about $330. This stark difference illustrates how ownership inflates perceived value, especially for unique or intangible items.</w:t>
      </w:r>
    </w:p>
    <w:p w14:paraId="1AAEF202" w14:textId="7D6D7E53" w:rsidR="00C44B16" w:rsidRPr="00C44B16" w:rsidRDefault="00C44B16" w:rsidP="00C44B16">
      <w:pPr>
        <w:rPr>
          <w:rFonts w:eastAsiaTheme="majorEastAsia"/>
        </w:rPr>
      </w:pPr>
      <w:r w:rsidRPr="00C44B16">
        <w:rPr>
          <w:rFonts w:eastAsiaTheme="majorEastAsia"/>
        </w:rPr>
        <w:t xml:space="preserve">For tangible commodities, sellers typically ask for about twice what buyers are willing to pay. However, when it comes to </w:t>
      </w:r>
      <w:r w:rsidR="003E7C7C">
        <w:rPr>
          <w:rFonts w:eastAsiaTheme="majorEastAsia"/>
        </w:rPr>
        <w:t>unique</w:t>
      </w:r>
      <w:r w:rsidRPr="00C44B16">
        <w:rPr>
          <w:rFonts w:eastAsiaTheme="majorEastAsia"/>
        </w:rPr>
        <w:t xml:space="preserve"> items or intangible assets, the pricing disparity can be as much as six times between what sellers want and buyers offer. In business, this effect is evident when:</w:t>
      </w:r>
    </w:p>
    <w:p w14:paraId="4486F0F2" w14:textId="77777777" w:rsidR="00C44B16" w:rsidRPr="00C44B16" w:rsidRDefault="00C44B16" w:rsidP="00C44B16">
      <w:pPr>
        <w:rPr>
          <w:rFonts w:eastAsiaTheme="majorEastAsia"/>
        </w:rPr>
      </w:pPr>
      <w:r w:rsidRPr="00C44B16">
        <w:rPr>
          <w:rFonts w:eastAsiaTheme="majorEastAsia"/>
        </w:rPr>
        <w:t>Consulting service: Consultants, valuing their expertise and tailored solutions, might set a competitive price for their services. Clients, however, often push back due to comparisons with alternative options. This resistance can leave consultants feeling undervalued despite the quality of their work, leading to tough negotiations.</w:t>
      </w:r>
    </w:p>
    <w:p w14:paraId="07D652ED" w14:textId="77777777" w:rsidR="00C44B16" w:rsidRPr="00C44B16" w:rsidRDefault="00C44B16" w:rsidP="00C44B16">
      <w:pPr>
        <w:rPr>
          <w:rFonts w:eastAsiaTheme="majorEastAsia"/>
        </w:rPr>
      </w:pPr>
      <w:r w:rsidRPr="00C44B16">
        <w:rPr>
          <w:rFonts w:eastAsiaTheme="majorEastAsia"/>
        </w:rPr>
        <w:t>Internal Technology Support: When a company's operations unit requires technical assistance for a product issue, it turns to its technology division. The technology department, deeply invested in its work, believes its pricing accurately reflects the value of its services. However, the operations department, focused on cost-effectiveness and market alternatives, often perceives the estimate as unreasonable.</w:t>
      </w:r>
    </w:p>
    <w:p w14:paraId="55FD51E2" w14:textId="5D99B539" w:rsidR="00241D5C" w:rsidRDefault="00C44B16" w:rsidP="00C44B16">
      <w:pPr>
        <w:rPr>
          <w:rFonts w:eastAsiaTheme="majorEastAsia"/>
        </w:rPr>
      </w:pPr>
      <w:r w:rsidRPr="00C44B16">
        <w:rPr>
          <w:rFonts w:eastAsiaTheme="majorEastAsia"/>
        </w:rPr>
        <w:t>Bridging this gap requires acknowledging owners' emotional attachment to their assets and finding ways to align sellers' and buyers' perspectives</w:t>
      </w:r>
      <w:r w:rsidR="00241D5C" w:rsidRPr="00241D5C">
        <w:rPr>
          <w:rFonts w:eastAsiaTheme="majorEastAsia"/>
        </w:rPr>
        <w:t>.</w:t>
      </w:r>
    </w:p>
    <w:p w14:paraId="21482559" w14:textId="6A2BB539" w:rsidR="005E7E40" w:rsidRPr="005E7E40" w:rsidRDefault="007A7A10" w:rsidP="005E7E40">
      <w:pPr>
        <w:pStyle w:val="Heading3"/>
      </w:pPr>
      <w:bookmarkStart w:id="37" w:name="_Hlk168390230"/>
      <w:bookmarkEnd w:id="36"/>
      <w:r>
        <w:t>Manage</w:t>
      </w:r>
      <w:r w:rsidR="00C1200E" w:rsidRPr="00C1200E">
        <w:t xml:space="preserve"> Endowment Effect</w:t>
      </w:r>
      <w:bookmarkStart w:id="38" w:name="_Hlk168135443"/>
      <w:r w:rsidR="005E7E40">
        <w:t xml:space="preserve">: </w:t>
      </w:r>
      <w:r w:rsidR="005E7E40" w:rsidRPr="005E7E40">
        <w:t>Align Per</w:t>
      </w:r>
      <w:r w:rsidR="005E7E40">
        <w:t>ception</w:t>
      </w:r>
      <w:r w:rsidR="005E7E40" w:rsidRPr="005E7E40">
        <w:t>s</w:t>
      </w:r>
    </w:p>
    <w:p w14:paraId="03370330" w14:textId="77777777" w:rsidR="00C44B16" w:rsidRDefault="00C44B16" w:rsidP="00C44B16">
      <w:pPr>
        <w:rPr>
          <w:rFonts w:eastAsiaTheme="majorEastAsia"/>
        </w:rPr>
      </w:pPr>
      <w:r w:rsidRPr="00C44B16">
        <w:rPr>
          <w:rFonts w:eastAsiaTheme="majorEastAsia"/>
        </w:rPr>
        <w:t>To effectively manage the endowment effect, it is essential to cultivate awareness, create psychological distance, and embrace collaborative decision-making. These strategies help align sellers' and buyers' differing perceptions, leading to more balanced and objective valuations.</w:t>
      </w:r>
    </w:p>
    <w:p w14:paraId="6C9CB65F" w14:textId="26EA3D1B" w:rsidR="00C44B16" w:rsidRPr="00C44B16" w:rsidRDefault="00C44B16" w:rsidP="00C44B16">
      <w:pPr>
        <w:rPr>
          <w:rFonts w:eastAsiaTheme="majorEastAsia"/>
        </w:rPr>
      </w:pPr>
      <w:r w:rsidRPr="00C44B16">
        <w:rPr>
          <w:rFonts w:eastAsiaTheme="majorEastAsia"/>
        </w:rPr>
        <w:lastRenderedPageBreak/>
        <w:t>Cultivate Awareness: The first step in managing the endowment effect is recognizing that ownership can inflate perceived value. Decision-makers must acknowledge this bias to approach their valuations more objectively. While awareness alone does not eliminate the bias, it provides a foundation for more rational decision-making by highlighting the emotional attachment that can skew perception.</w:t>
      </w:r>
    </w:p>
    <w:p w14:paraId="530D564B" w14:textId="77777777" w:rsidR="00C44B16" w:rsidRPr="00C44B16" w:rsidRDefault="00C44B16" w:rsidP="00C44B16">
      <w:pPr>
        <w:rPr>
          <w:rFonts w:eastAsiaTheme="majorEastAsia"/>
        </w:rPr>
      </w:pPr>
      <w:r w:rsidRPr="00C44B16">
        <w:rPr>
          <w:rFonts w:eastAsiaTheme="majorEastAsia"/>
        </w:rPr>
        <w:t>Create Psychological Distance: Establishing psychological distance from an owned asset helps evaluate its worth. This objective can be achieved by viewing the asset from an outsider's perspective or comparing it with similar items on the market. For example, a consultant might seek input from colleagues or industry peers who are not directly involved with the project. By mentally detaching from ownership, decision-makers can reduce the emotional influence that inflates value and achieve a more realistic assessment.</w:t>
      </w:r>
    </w:p>
    <w:p w14:paraId="41B457C8" w14:textId="77777777" w:rsidR="00C44B16" w:rsidRPr="00C44B16" w:rsidRDefault="00C44B16" w:rsidP="00C44B16">
      <w:pPr>
        <w:rPr>
          <w:rFonts w:eastAsiaTheme="majorEastAsia"/>
        </w:rPr>
      </w:pPr>
      <w:r w:rsidRPr="00C44B16">
        <w:rPr>
          <w:rFonts w:eastAsiaTheme="majorEastAsia"/>
        </w:rPr>
        <w:t>Embrace Collaborative Decision-Making: Encouraging inputs from both sellers and buyers fosters a more comprehensive evaluation process. In technology support, for instance, joint development projects between buyers and providers illustrate how collaboration can mitigate the endowment effect. Sharing ownership and responsibility in such projects creates a mutual interest in success, balancing risks and rewards. This approach aligns interests and reduces emotional biases, leading to more equitable and satisfactory outcomes for all parties involved.</w:t>
      </w:r>
    </w:p>
    <w:p w14:paraId="124C21BC" w14:textId="6C9429C4" w:rsidR="005E7E40" w:rsidRDefault="00C44B16" w:rsidP="00C44B16">
      <w:pPr>
        <w:rPr>
          <w:rFonts w:eastAsiaTheme="majorEastAsia"/>
        </w:rPr>
      </w:pPr>
      <w:r w:rsidRPr="00C44B16">
        <w:rPr>
          <w:rFonts w:eastAsiaTheme="majorEastAsia"/>
        </w:rPr>
        <w:t>By combining awareness, psychological distance, and collaboration, decision-makers can better manage the endowment effect, ensuring fairer valuations and more effective negotiations.</w:t>
      </w:r>
    </w:p>
    <w:bookmarkEnd w:id="37"/>
    <w:p w14:paraId="26029AB8" w14:textId="07981697" w:rsidR="007A7A10" w:rsidRPr="005E7E40" w:rsidRDefault="007A7A10" w:rsidP="005E7E40">
      <w:pPr>
        <w:pStyle w:val="Heading3"/>
      </w:pPr>
      <w:r w:rsidRPr="005E7E40">
        <w:t xml:space="preserve">Business Case: How IKEA Leverages the Endowment Effect to </w:t>
      </w:r>
      <w:r w:rsidR="005E7E40" w:rsidRPr="005E7E40">
        <w:t>Boost Customer Satisfaction and Loyalty</w:t>
      </w:r>
    </w:p>
    <w:p w14:paraId="21E31E41" w14:textId="61F617E0" w:rsidR="00C44B16" w:rsidRPr="00C44B16" w:rsidRDefault="00C44B16" w:rsidP="00C44B16">
      <w:pPr>
        <w:rPr>
          <w:rFonts w:eastAsiaTheme="majorEastAsia"/>
        </w:rPr>
      </w:pPr>
      <w:r w:rsidRPr="00C44B16">
        <w:rPr>
          <w:rFonts w:eastAsiaTheme="majorEastAsia"/>
        </w:rPr>
        <w:t xml:space="preserve">IKEA, known for its affordable and stylish furniture, effectively taps into the endowment effect—where individuals value items more due to their investment of effort. </w:t>
      </w:r>
      <w:r w:rsidR="003E7C7C">
        <w:rPr>
          <w:rFonts w:eastAsiaTheme="majorEastAsia"/>
        </w:rPr>
        <w:t>By involving customers in creating and personalizing their products, IKEA fosters stronger connections and long-term loyalty</w:t>
      </w:r>
      <w:r w:rsidRPr="00C44B16">
        <w:rPr>
          <w:rFonts w:eastAsiaTheme="majorEastAsia"/>
        </w:rPr>
        <w:t>.</w:t>
      </w:r>
    </w:p>
    <w:p w14:paraId="210C7703" w14:textId="77777777" w:rsidR="00C44B16" w:rsidRPr="00C44B16" w:rsidRDefault="00C44B16" w:rsidP="00C44B16">
      <w:pPr>
        <w:rPr>
          <w:rFonts w:eastAsiaTheme="majorEastAsia"/>
          <w:b/>
          <w:bCs/>
        </w:rPr>
      </w:pPr>
      <w:r w:rsidRPr="00C44B16">
        <w:rPr>
          <w:rFonts w:eastAsiaTheme="majorEastAsia"/>
          <w:b/>
          <w:bCs/>
        </w:rPr>
        <w:lastRenderedPageBreak/>
        <w:t>The Endowment Effect in Action</w:t>
      </w:r>
    </w:p>
    <w:p w14:paraId="763E67EE" w14:textId="77777777" w:rsidR="00C44B16" w:rsidRPr="00C44B16" w:rsidRDefault="00C44B16" w:rsidP="00C44B16">
      <w:pPr>
        <w:rPr>
          <w:rFonts w:eastAsiaTheme="majorEastAsia"/>
        </w:rPr>
      </w:pPr>
      <w:r w:rsidRPr="00C44B16">
        <w:rPr>
          <w:rFonts w:eastAsiaTheme="majorEastAsia"/>
        </w:rPr>
        <w:t xml:space="preserve">The 2012 study, "The IKEA Effect: When Labor Leads to Love," by Norton, </w:t>
      </w:r>
      <w:proofErr w:type="spellStart"/>
      <w:r w:rsidRPr="00C44B16">
        <w:rPr>
          <w:rFonts w:eastAsiaTheme="majorEastAsia"/>
        </w:rPr>
        <w:t>Mochon</w:t>
      </w:r>
      <w:proofErr w:type="spellEnd"/>
      <w:r w:rsidRPr="00C44B16">
        <w:rPr>
          <w:rFonts w:eastAsiaTheme="majorEastAsia"/>
        </w:rPr>
        <w:t>, and Ariely, reveals that consumers place a higher value on products they assemble than those assembled by experts. This increased value results from the personal effort and satisfaction from completing the assembly process. IKEA capitalizes on this effect through several strategies:</w:t>
      </w:r>
    </w:p>
    <w:p w14:paraId="53261E5B" w14:textId="77777777" w:rsidR="00C44B16" w:rsidRPr="00C44B16" w:rsidRDefault="00C44B16" w:rsidP="00C44B16">
      <w:pPr>
        <w:rPr>
          <w:rFonts w:eastAsiaTheme="majorEastAsia"/>
        </w:rPr>
      </w:pPr>
      <w:r w:rsidRPr="00C44B16">
        <w:rPr>
          <w:rFonts w:eastAsiaTheme="majorEastAsia"/>
        </w:rPr>
        <w:t>Self-Assembly Model: IKEA's flat-pack furniture requires customers to assemble it themselves, fostering a sense of ownership that significantly boosts perceived value and satisfaction.</w:t>
      </w:r>
    </w:p>
    <w:p w14:paraId="78675D80" w14:textId="77777777" w:rsidR="00C44B16" w:rsidRPr="00C44B16" w:rsidRDefault="00C44B16" w:rsidP="00C44B16">
      <w:pPr>
        <w:rPr>
          <w:rFonts w:eastAsiaTheme="majorEastAsia"/>
        </w:rPr>
      </w:pPr>
      <w:r w:rsidRPr="00C44B16">
        <w:rPr>
          <w:rFonts w:eastAsiaTheme="majorEastAsia"/>
        </w:rPr>
        <w:t>Customization Options: IKEA offers various customization options, allowing customers to tailor products to their preferences and deepen their emotional attachment.</w:t>
      </w:r>
    </w:p>
    <w:p w14:paraId="307AEC8A" w14:textId="77777777" w:rsidR="00C44B16" w:rsidRPr="00C44B16" w:rsidRDefault="00C44B16" w:rsidP="00C44B16">
      <w:pPr>
        <w:rPr>
          <w:rFonts w:eastAsiaTheme="majorEastAsia"/>
        </w:rPr>
      </w:pPr>
      <w:r w:rsidRPr="00C44B16">
        <w:rPr>
          <w:rFonts w:eastAsiaTheme="majorEastAsia"/>
        </w:rPr>
        <w:t>Interactive Showrooms and Planning Tools: IKEA's interactive showrooms and online planning tools enable customers to visualize and interact with products, increasing their emotional investment.</w:t>
      </w:r>
    </w:p>
    <w:p w14:paraId="76D1397B" w14:textId="77777777" w:rsidR="00C44B16" w:rsidRPr="00C44B16" w:rsidRDefault="00C44B16" w:rsidP="00C44B16">
      <w:pPr>
        <w:rPr>
          <w:rFonts w:eastAsiaTheme="majorEastAsia"/>
        </w:rPr>
      </w:pPr>
      <w:r w:rsidRPr="00C44B16">
        <w:rPr>
          <w:rFonts w:eastAsiaTheme="majorEastAsia"/>
        </w:rPr>
        <w:t>IKEA Family Program: The IKEA Family Program provides exclusive offers and encourages repeat visits, further strengthening customer connections.</w:t>
      </w:r>
    </w:p>
    <w:p w14:paraId="53970B3C" w14:textId="77777777" w:rsidR="00C44B16" w:rsidRPr="00C44B16" w:rsidRDefault="00C44B16" w:rsidP="00C44B16">
      <w:pPr>
        <w:rPr>
          <w:rFonts w:eastAsiaTheme="majorEastAsia"/>
        </w:rPr>
      </w:pPr>
      <w:r w:rsidRPr="00C44B16">
        <w:rPr>
          <w:rFonts w:eastAsiaTheme="majorEastAsia"/>
        </w:rPr>
        <w:t>DIY Workshops and Community Events: These initiatives foster a strong sense of community and belonging, while robust customer support ensures issues are resolved promptly. IKEA's focus on sustainability also resonates with environmentally conscious customers, particularly younger generations, further boosting their loyalty.</w:t>
      </w:r>
    </w:p>
    <w:p w14:paraId="6496D7D5" w14:textId="77777777" w:rsidR="00C44B16" w:rsidRPr="00C44B16" w:rsidRDefault="00C44B16" w:rsidP="00C44B16">
      <w:pPr>
        <w:rPr>
          <w:rFonts w:eastAsiaTheme="majorEastAsia"/>
        </w:rPr>
      </w:pPr>
      <w:r w:rsidRPr="00C44B16">
        <w:rPr>
          <w:rFonts w:eastAsiaTheme="majorEastAsia"/>
        </w:rPr>
        <w:t>Each strategy leverages the endowment effect to boost customers' perceived value and strengthen their attachment to the IKEA brand.</w:t>
      </w:r>
    </w:p>
    <w:p w14:paraId="09E2FAD2" w14:textId="77777777" w:rsidR="00C44B16" w:rsidRPr="00C44B16" w:rsidRDefault="00C44B16" w:rsidP="00C44B16">
      <w:pPr>
        <w:rPr>
          <w:rFonts w:eastAsiaTheme="majorEastAsia"/>
          <w:b/>
          <w:bCs/>
        </w:rPr>
      </w:pPr>
      <w:r w:rsidRPr="00C44B16">
        <w:rPr>
          <w:rFonts w:eastAsiaTheme="majorEastAsia"/>
          <w:b/>
          <w:bCs/>
        </w:rPr>
        <w:t>Impact</w:t>
      </w:r>
    </w:p>
    <w:p w14:paraId="63BD081A" w14:textId="77777777" w:rsidR="00C44B16" w:rsidRPr="00C44B16" w:rsidRDefault="00C44B16" w:rsidP="00C44B16">
      <w:pPr>
        <w:rPr>
          <w:rFonts w:eastAsiaTheme="majorEastAsia"/>
        </w:rPr>
      </w:pPr>
      <w:r w:rsidRPr="00C44B16">
        <w:rPr>
          <w:rFonts w:eastAsiaTheme="majorEastAsia"/>
        </w:rPr>
        <w:t xml:space="preserve">By integrating the endowment effect into its business model, IKEA effectively enhances customer satisfaction and loyalty. Customers who feel a sense of ownership and pride in their purchases are more </w:t>
      </w:r>
      <w:r w:rsidRPr="00C44B16">
        <w:rPr>
          <w:rFonts w:eastAsiaTheme="majorEastAsia"/>
        </w:rPr>
        <w:lastRenderedPageBreak/>
        <w:t xml:space="preserve">likely to remain loyal to the brand. This strategy improves individual customer experiences and strengthens IKEA's market position. </w:t>
      </w:r>
    </w:p>
    <w:p w14:paraId="65ECC807" w14:textId="77777777" w:rsidR="00C44B16" w:rsidRPr="00C44B16" w:rsidRDefault="00C44B16" w:rsidP="00C44B16">
      <w:pPr>
        <w:rPr>
          <w:rFonts w:eastAsiaTheme="majorEastAsia"/>
          <w:b/>
          <w:bCs/>
        </w:rPr>
      </w:pPr>
      <w:r w:rsidRPr="00C44B16">
        <w:rPr>
          <w:rFonts w:eastAsiaTheme="majorEastAsia"/>
          <w:b/>
          <w:bCs/>
        </w:rPr>
        <w:t>Lessons Learned</w:t>
      </w:r>
    </w:p>
    <w:p w14:paraId="47C294AD" w14:textId="15D76A81" w:rsidR="00C44B16" w:rsidRPr="003E7C7C" w:rsidRDefault="00C44B16" w:rsidP="003E7C7C">
      <w:pPr>
        <w:rPr>
          <w:rFonts w:eastAsiaTheme="majorEastAsia"/>
        </w:rPr>
      </w:pPr>
      <w:r w:rsidRPr="003E7C7C">
        <w:rPr>
          <w:rFonts w:eastAsiaTheme="majorEastAsia"/>
        </w:rPr>
        <w:t>IKEA's strategic use of the endowment effect offers</w:t>
      </w:r>
      <w:r w:rsidR="003E7C7C" w:rsidRPr="003E7C7C">
        <w:rPr>
          <w:rFonts w:eastAsiaTheme="majorEastAsia"/>
        </w:rPr>
        <w:t xml:space="preserve"> i</w:t>
      </w:r>
      <w:r w:rsidRPr="003E7C7C">
        <w:rPr>
          <w:rFonts w:eastAsiaTheme="majorEastAsia"/>
        </w:rPr>
        <w:t>nsight into enhancing customer loyalty and satisfaction</w:t>
      </w:r>
      <w:r w:rsidR="003E7C7C">
        <w:rPr>
          <w:rFonts w:eastAsiaTheme="majorEastAsia"/>
        </w:rPr>
        <w:t>:</w:t>
      </w:r>
    </w:p>
    <w:p w14:paraId="0ECE8C6A" w14:textId="77777777" w:rsidR="00C44B16" w:rsidRPr="00C44B16" w:rsidRDefault="00C44B16" w:rsidP="00D81274">
      <w:pPr>
        <w:pStyle w:val="ListParagraph"/>
        <w:numPr>
          <w:ilvl w:val="0"/>
          <w:numId w:val="13"/>
        </w:numPr>
        <w:rPr>
          <w:rFonts w:eastAsiaTheme="majorEastAsia"/>
        </w:rPr>
      </w:pPr>
      <w:r w:rsidRPr="00C44B16">
        <w:rPr>
          <w:rFonts w:eastAsiaTheme="majorEastAsia"/>
        </w:rPr>
        <w:t>Customer Participation Increases Value: Engaging customers in creating or customizing products boosts their perceived value and satisfaction.</w:t>
      </w:r>
    </w:p>
    <w:p w14:paraId="24ED70A3" w14:textId="77777777" w:rsidR="00C44B16" w:rsidRPr="00C44B16" w:rsidRDefault="00C44B16" w:rsidP="00D81274">
      <w:pPr>
        <w:pStyle w:val="ListParagraph"/>
        <w:numPr>
          <w:ilvl w:val="0"/>
          <w:numId w:val="13"/>
        </w:numPr>
        <w:rPr>
          <w:rFonts w:eastAsiaTheme="majorEastAsia"/>
        </w:rPr>
      </w:pPr>
      <w:r w:rsidRPr="00C44B16">
        <w:rPr>
          <w:rFonts w:eastAsiaTheme="majorEastAsia"/>
        </w:rPr>
        <w:t>Interactive Tools Strengthen Connection: Tools for visualization and personalization deepen customers' emotional attachment to their purchases.</w:t>
      </w:r>
    </w:p>
    <w:p w14:paraId="4406E48C" w14:textId="77777777" w:rsidR="00C44B16" w:rsidRPr="00C44B16" w:rsidRDefault="00C44B16" w:rsidP="00D81274">
      <w:pPr>
        <w:pStyle w:val="ListParagraph"/>
        <w:numPr>
          <w:ilvl w:val="0"/>
          <w:numId w:val="13"/>
        </w:numPr>
        <w:rPr>
          <w:rFonts w:eastAsiaTheme="majorEastAsia"/>
        </w:rPr>
      </w:pPr>
      <w:r w:rsidRPr="00C44B16">
        <w:rPr>
          <w:rFonts w:eastAsiaTheme="majorEastAsia"/>
        </w:rPr>
        <w:t>Completion Maximizes Value: Completing collaborative tasks helps fully realize the benefits of the endowment effect.</w:t>
      </w:r>
    </w:p>
    <w:p w14:paraId="45A451F1" w14:textId="577AA5B3" w:rsidR="00C44B16" w:rsidRPr="00C44B16" w:rsidRDefault="00C44B16" w:rsidP="00D81274">
      <w:pPr>
        <w:pStyle w:val="ListParagraph"/>
        <w:numPr>
          <w:ilvl w:val="0"/>
          <w:numId w:val="13"/>
        </w:numPr>
        <w:rPr>
          <w:rFonts w:eastAsiaTheme="majorEastAsia"/>
        </w:rPr>
      </w:pPr>
      <w:r w:rsidRPr="00C44B16">
        <w:rPr>
          <w:rFonts w:eastAsiaTheme="majorEastAsia"/>
        </w:rPr>
        <w:t>Community and Support Foster Loyalty: Workshops, community events, and responsive customer support build a strong sense of belonging and enhance loyalty.</w:t>
      </w:r>
    </w:p>
    <w:p w14:paraId="1CD40BE4" w14:textId="77777777" w:rsidR="00DC2317" w:rsidRPr="00DC2317" w:rsidRDefault="00DC2317" w:rsidP="00DC2317">
      <w:pPr>
        <w:pStyle w:val="ListParagraph"/>
        <w:rPr>
          <w:rFonts w:eastAsiaTheme="majorEastAsia"/>
        </w:rPr>
      </w:pPr>
    </w:p>
    <w:p w14:paraId="2D4A88DD" w14:textId="6E8B63AF" w:rsidR="00DC2317" w:rsidRDefault="001B2C19" w:rsidP="00DC2317">
      <w:pPr>
        <w:pStyle w:val="Heading2"/>
      </w:pPr>
      <w:bookmarkStart w:id="39" w:name="_Toc191026921"/>
      <w:bookmarkEnd w:id="38"/>
      <w:r>
        <w:t xml:space="preserve">Status Quo: </w:t>
      </w:r>
      <w:bookmarkStart w:id="40" w:name="_Hlk168393144"/>
      <w:r>
        <w:t xml:space="preserve">Why </w:t>
      </w:r>
      <w:r w:rsidR="00D83826">
        <w:t xml:space="preserve">Business </w:t>
      </w:r>
      <w:r>
        <w:t>Resist</w:t>
      </w:r>
      <w:r w:rsidR="00D83826">
        <w:t>s</w:t>
      </w:r>
      <w:r>
        <w:t xml:space="preserve"> </w:t>
      </w:r>
      <w:r w:rsidR="00DC2317">
        <w:t>Change</w:t>
      </w:r>
      <w:bookmarkEnd w:id="39"/>
    </w:p>
    <w:p w14:paraId="210D5B78" w14:textId="7B28EA98" w:rsidR="00C44B16" w:rsidRDefault="00C44B16" w:rsidP="00C44B16">
      <w:r>
        <w:t xml:space="preserve">Why did a company hesitate to switch to a service provider, even when offered better features at a lower price? This </w:t>
      </w:r>
      <w:r w:rsidR="003E7C7C">
        <w:t>shared</w:t>
      </w:r>
      <w:r>
        <w:t xml:space="preserve"> experience reflects a powerful psychological force, the status quo bias. People often prefer things to stay the same, even when change could be beneficial.</w:t>
      </w:r>
    </w:p>
    <w:p w14:paraId="187AD0F4" w14:textId="44D5A290" w:rsidR="00C44B16" w:rsidRDefault="00C44B16" w:rsidP="00C44B16">
      <w:r>
        <w:t xml:space="preserve">This bias is not just about passively sticking with familiar things—it is deeply rooted in human emotional responses to decisions. Studies show that people often feel more attached to the outcomes of their </w:t>
      </w:r>
      <w:r w:rsidR="003E7C7C">
        <w:t>choice</w:t>
      </w:r>
      <w:r>
        <w:t>s. For example, imagine two managers, Paul and George, deciding on an investment. Paul sticks with his current plan, while George opts for a riskier, potentially more rewarding option. If George's investment loses value, he might feel stronger regret than Paul, who kept things as they were.</w:t>
      </w:r>
    </w:p>
    <w:p w14:paraId="7956B2D1" w14:textId="63454F74" w:rsidR="00DC2317" w:rsidRDefault="00C44B16" w:rsidP="00C44B16">
      <w:r>
        <w:lastRenderedPageBreak/>
        <w:t>Status quo bias is a natural human tendency that prioritizes the familiar and comfortable. Individuals often underestimate potential gains from change and overestimate potential losses, favoring the current situation. Additionally, when decision-makers actively choose something, they feel more responsible for the outcome, which can be paralyzing, especially when faced with many options. The more choices a business faces, the stronger the urge to stick with what they have</w:t>
      </w:r>
      <w:r w:rsidR="00DC2317">
        <w:t>.</w:t>
      </w:r>
    </w:p>
    <w:p w14:paraId="0E170293" w14:textId="77D73A3D" w:rsidR="00DC2317" w:rsidRDefault="00DC2317" w:rsidP="00DC2317">
      <w:pPr>
        <w:pStyle w:val="Heading3"/>
      </w:pPr>
      <w:r>
        <w:t>First Movers vs. Status Quo: The Balancing Act of Innovation</w:t>
      </w:r>
    </w:p>
    <w:p w14:paraId="46CF8021" w14:textId="77777777" w:rsidR="00C44B16" w:rsidRDefault="00C44B16" w:rsidP="00C44B16">
      <w:r>
        <w:t>In the dynamic business world, particularly in technology and engineering, companies often choose between embracing innovation or maintaining the comfort of the status quo. The first-mover advantage offers a competitive edge to companies that pioneer new products or technologies, setting industry benchmarks that others must meet or surpass.</w:t>
      </w:r>
    </w:p>
    <w:p w14:paraId="5ED7B9B2" w14:textId="54FC8105" w:rsidR="00C44B16" w:rsidRDefault="00C44B16" w:rsidP="00C44B16">
      <w:r>
        <w:t>This advantage comes from several sources:</w:t>
      </w:r>
    </w:p>
    <w:p w14:paraId="14FBC7B8" w14:textId="77777777" w:rsidR="00C44B16" w:rsidRDefault="00C44B16" w:rsidP="00D81274">
      <w:pPr>
        <w:pStyle w:val="ListParagraph"/>
        <w:numPr>
          <w:ilvl w:val="0"/>
          <w:numId w:val="14"/>
        </w:numPr>
      </w:pPr>
      <w:r>
        <w:t>Technological Leadership: First movers can define new functionalities and establish industry standards. For example, Apple's introduction of the iPhone revolutionized mobile technology, creating a new standard that competitors had to match.</w:t>
      </w:r>
    </w:p>
    <w:p w14:paraId="1A29A075" w14:textId="77777777" w:rsidR="00C44B16" w:rsidRDefault="00C44B16" w:rsidP="00D81274">
      <w:pPr>
        <w:pStyle w:val="ListParagraph"/>
        <w:numPr>
          <w:ilvl w:val="0"/>
          <w:numId w:val="14"/>
        </w:numPr>
      </w:pPr>
      <w:r>
        <w:t>Resource Control: Companies that secure critical resources, such as phone carriers obtaining exclusive communication frequencies, gain a distinct market advantage, forcing competitors to seek less optimal alternatives.</w:t>
      </w:r>
    </w:p>
    <w:p w14:paraId="49FD6E56" w14:textId="77777777" w:rsidR="00C44B16" w:rsidRDefault="00C44B16" w:rsidP="00D81274">
      <w:pPr>
        <w:pStyle w:val="ListParagraph"/>
        <w:numPr>
          <w:ilvl w:val="0"/>
          <w:numId w:val="14"/>
        </w:numPr>
      </w:pPr>
      <w:r>
        <w:t>Switching Costs: Pioneering companies often make it challenging for customers to switch to competitors' products. For instance, companies using SAP's enterprise software face high costs in switching systems due to retraining staff and migrating data.</w:t>
      </w:r>
    </w:p>
    <w:p w14:paraId="1A7EBE2C" w14:textId="77777777" w:rsidR="00C44B16" w:rsidRDefault="00C44B16" w:rsidP="00C44B16">
      <w:r>
        <w:t xml:space="preserve">These strategic advantages encourage established companies to maintain their leading positions, discouraging competitors from challenging the existing order. However, status quo bias can blind these companies to the need for innovation. A company that has long dominated its market may hesitate to </w:t>
      </w:r>
      <w:r>
        <w:lastRenderedPageBreak/>
        <w:t>invest in new technologies, fearing disruptions to its operations. This inertia can leave entrenched leaders vulnerable to disruptive products introduced by new entrants. As a result, established companies may be overtaken by more agile competitors, falling victim to the complacency that once secured their dominance.</w:t>
      </w:r>
    </w:p>
    <w:p w14:paraId="15F1CA05" w14:textId="73E5E12D" w:rsidR="00DC2317" w:rsidRDefault="00C44B16" w:rsidP="00C44B16">
      <w:r>
        <w:t>Ultimately, deciding to innovate or maintain the status quo hinges on a deep understanding of market dynamics. By recognizing the limitations of the first-mover advantage and the factors that can erode it, companies can make informed strategic decisions that ensure their long-term success</w:t>
      </w:r>
      <w:r w:rsidR="00DC2317">
        <w:t>.</w:t>
      </w:r>
    </w:p>
    <w:p w14:paraId="77DFE5C6" w14:textId="71B34DD3" w:rsidR="00DC2317" w:rsidRDefault="00DC2317" w:rsidP="00DC2317">
      <w:pPr>
        <w:pStyle w:val="Heading3"/>
      </w:pPr>
      <w:r>
        <w:t>Business Case: Nokia’s Status Quo Bias</w:t>
      </w:r>
    </w:p>
    <w:p w14:paraId="34FF37B0" w14:textId="77777777" w:rsidR="00C44B16" w:rsidRDefault="00C44B16" w:rsidP="00C44B16">
      <w:r>
        <w:t>Nokia's decline is a well-documented case study in business schools, often used to illustrate the importance of market adaptability and overcoming organizational inertia. Once the global leader in mobile phones, Nokia was known for its innovative technology and extensive market reach. However, the company's inability to adapt to the rapidly evolving smartphone market and adherence to its existing business model led to a significant decline.</w:t>
      </w:r>
    </w:p>
    <w:p w14:paraId="3E0823FE" w14:textId="77777777" w:rsidR="00C44B16" w:rsidRPr="00C44B16" w:rsidRDefault="00C44B16" w:rsidP="00C44B16">
      <w:pPr>
        <w:rPr>
          <w:b/>
          <w:bCs/>
        </w:rPr>
      </w:pPr>
      <w:r w:rsidRPr="00C44B16">
        <w:rPr>
          <w:b/>
          <w:bCs/>
        </w:rPr>
        <w:t>Status Quo Bias at Play</w:t>
      </w:r>
    </w:p>
    <w:p w14:paraId="5959A4EF" w14:textId="77777777" w:rsidR="00C44B16" w:rsidRDefault="00C44B16" w:rsidP="00C44B16">
      <w:r>
        <w:t>Nokia's status quo bias became evident in the early 2010s when the smartphone industry rapidly transformed with the rise of touchscreen technology and operating systems like iOS and Android. Despite recognizing the market's shift towards smartphones, Nokia's leadership was slow to pivot from its successful but outdated Symbian operating system.</w:t>
      </w:r>
    </w:p>
    <w:p w14:paraId="5F19409C" w14:textId="77777777" w:rsidR="00C44B16" w:rsidRDefault="00C44B16" w:rsidP="00C44B16">
      <w:r>
        <w:t xml:space="preserve">The company's reluctance to embrace change was evident through its continued investment in Symbian, even as competitors advanced to modern platforms. Nokia's former CEO, Stephen </w:t>
      </w:r>
      <w:proofErr w:type="spellStart"/>
      <w:r>
        <w:t>Elop</w:t>
      </w:r>
      <w:proofErr w:type="spellEnd"/>
      <w:r>
        <w:t xml:space="preserve">, acknowledged this in his infamous "Burning Platform" memo in 2011, highlighting the company's struggle to keep up with competitors. Despite this acknowledgment, Nokia's shift to the Windows Phone operating system appeared to be too little, too late. Although this partnership aimed to revitalize Nokia's smartphone </w:t>
      </w:r>
      <w:r>
        <w:lastRenderedPageBreak/>
        <w:t>offerings, it failed to capture significant market share due to its late entry into a market dominated by Apple's iOS and Google's Android.</w:t>
      </w:r>
    </w:p>
    <w:p w14:paraId="66D08E11" w14:textId="77777777" w:rsidR="00C44B16" w:rsidRDefault="00C44B16" w:rsidP="00C44B16">
      <w:r>
        <w:t>Furthermore, Nokia's leadership needed to recognize the importance of app ecosystems faster. While competitors developed vibrant app stores that attracted consumers, Nokia struggled. Nokia's reluctance to invest in app development and ecosystem growth further exemplified its adherence to outdated practices.</w:t>
      </w:r>
    </w:p>
    <w:p w14:paraId="69E70381" w14:textId="77777777" w:rsidR="00C44B16" w:rsidRPr="00C44B16" w:rsidRDefault="00C44B16" w:rsidP="00C44B16">
      <w:pPr>
        <w:rPr>
          <w:b/>
          <w:bCs/>
        </w:rPr>
      </w:pPr>
      <w:r w:rsidRPr="00C44B16">
        <w:rPr>
          <w:b/>
          <w:bCs/>
        </w:rPr>
        <w:t>Impact</w:t>
      </w:r>
    </w:p>
    <w:p w14:paraId="5E7E6A31" w14:textId="77777777" w:rsidR="00C44B16" w:rsidRDefault="00C44B16" w:rsidP="00C44B16">
      <w:r>
        <w:t>By 2013, Nokia's smartphone market share had plummeted to less than 3% globally, dramatically declining from its previous dominance. This failure to adapt led to a rapid loss of market position and made Nokia a less attractive acquisition target. In 2014, Microsoft acquired Nokia's Devices and Services division for $7.2 billion, marking the end of Nokia's dominance in the mobile phone industry.</w:t>
      </w:r>
    </w:p>
    <w:p w14:paraId="32BCBD15" w14:textId="77777777" w:rsidR="00C44B16" w:rsidRPr="00C44B16" w:rsidRDefault="00C44B16" w:rsidP="00C44B16">
      <w:pPr>
        <w:rPr>
          <w:b/>
          <w:bCs/>
        </w:rPr>
      </w:pPr>
      <w:r w:rsidRPr="00C44B16">
        <w:rPr>
          <w:b/>
          <w:bCs/>
        </w:rPr>
        <w:t>Lessons Learned</w:t>
      </w:r>
    </w:p>
    <w:p w14:paraId="0DAE9BF5" w14:textId="77777777" w:rsidR="00C44B16" w:rsidRDefault="00C44B16" w:rsidP="00C44B16">
      <w:r>
        <w:t>Nokia's experience is a powerful reminder of the importance of adaptability in business. Key takeaways include:</w:t>
      </w:r>
    </w:p>
    <w:p w14:paraId="7EA1CADC" w14:textId="77777777" w:rsidR="00C44B16" w:rsidRDefault="00C44B16" w:rsidP="00D81274">
      <w:pPr>
        <w:pStyle w:val="ListParagraph"/>
        <w:numPr>
          <w:ilvl w:val="0"/>
          <w:numId w:val="15"/>
        </w:numPr>
      </w:pPr>
      <w:r>
        <w:t>Embrace Change: Nokia's experience highlights the risks of clinging to outdated models. To remain competitive, companies must be willing to adapt to technological advancements and market shifts.</w:t>
      </w:r>
    </w:p>
    <w:p w14:paraId="1FF0575B" w14:textId="77777777" w:rsidR="00C44B16" w:rsidRDefault="00C44B16" w:rsidP="00D81274">
      <w:pPr>
        <w:pStyle w:val="ListParagraph"/>
        <w:numPr>
          <w:ilvl w:val="0"/>
          <w:numId w:val="15"/>
        </w:numPr>
      </w:pPr>
      <w:r>
        <w:t>Challenge Inertia: Relying on past success without adjusting to new trends can lead to significant losses. Businesses should actively seek to innovate and update their strategies.</w:t>
      </w:r>
    </w:p>
    <w:p w14:paraId="6327264F" w14:textId="6253F43B" w:rsidR="00C44B16" w:rsidRDefault="00C44B16" w:rsidP="00D81274">
      <w:pPr>
        <w:pStyle w:val="ListParagraph"/>
        <w:numPr>
          <w:ilvl w:val="0"/>
          <w:numId w:val="15"/>
        </w:numPr>
      </w:pPr>
      <w:r>
        <w:t>Act Proactively: Rapidly addressing market changes can be beneficial. Early and strategic responses to evolving technologies and consumer preferences are crucial for market leadership.</w:t>
      </w:r>
    </w:p>
    <w:p w14:paraId="2948AEA8" w14:textId="77777777" w:rsidR="00DC2317" w:rsidRDefault="00DC2317" w:rsidP="00DC2317">
      <w:pPr>
        <w:pStyle w:val="ListParagraph"/>
      </w:pPr>
      <w:bookmarkStart w:id="41" w:name="_Hlk168393851"/>
      <w:bookmarkEnd w:id="40"/>
    </w:p>
    <w:p w14:paraId="5A6429AB" w14:textId="701E289A" w:rsidR="001B2C19" w:rsidRDefault="001B2C19" w:rsidP="001B2C19">
      <w:pPr>
        <w:pStyle w:val="Heading2"/>
      </w:pPr>
      <w:bookmarkStart w:id="42" w:name="_Toc191026922"/>
      <w:bookmarkEnd w:id="41"/>
      <w:r>
        <w:lastRenderedPageBreak/>
        <w:t xml:space="preserve">Escalation of </w:t>
      </w:r>
      <w:r w:rsidR="002B7DCF">
        <w:t>C</w:t>
      </w:r>
      <w:r>
        <w:t>ommitment</w:t>
      </w:r>
      <w:r w:rsidR="002B7DCF">
        <w:t xml:space="preserve">: </w:t>
      </w:r>
      <w:r w:rsidR="00B751D5">
        <w:t>Understand</w:t>
      </w:r>
      <w:r w:rsidR="006C27C2">
        <w:t xml:space="preserve"> </w:t>
      </w:r>
      <w:r w:rsidR="00B751D5">
        <w:t>the Persistence in Failing Endeavors</w:t>
      </w:r>
      <w:bookmarkEnd w:id="42"/>
    </w:p>
    <w:p w14:paraId="6D4CA524" w14:textId="77777777" w:rsidR="00C44B16" w:rsidRDefault="00C44B16" w:rsidP="00C44B16">
      <w:r>
        <w:t>While the status quo bias shows how sticking with the familiar influences decisions, escalation of commitment explains why people and organizations keep investing in failing projects. This behavior extends from previous biases, demonstrating why continued investment occurs despite apparent failure.</w:t>
      </w:r>
    </w:p>
    <w:p w14:paraId="306845F3" w14:textId="77777777" w:rsidR="00C44B16" w:rsidRDefault="00C44B16" w:rsidP="00C44B16">
      <w:r>
        <w:t>Escalation of Commitment happens when individuals or groups keep investing resources—time, money, or effort—into a failing project because of their initial commitment. This persistence often arises from a desire to justify past decisions and avoid admitting mistakes, even when continuing is unlikely to improve results.</w:t>
      </w:r>
    </w:p>
    <w:p w14:paraId="2B503619" w14:textId="77777777" w:rsidR="00C44B16" w:rsidRDefault="00C44B16" w:rsidP="00C44B16">
      <w:r>
        <w:t>This issue affects both individuals and organizations. Many companies have suffered significant losses because they continued to support failing projects due to a reluctance to admit errors and a need to stay consistent with past decisions.</w:t>
      </w:r>
    </w:p>
    <w:p w14:paraId="3F38271D" w14:textId="37D9B3D6" w:rsidR="00C44B16" w:rsidRDefault="00C44B16" w:rsidP="00C44B16">
      <w:r>
        <w:t xml:space="preserve">A recent example is Theranos, a health tech startup that promised revolutionary blood-testing technology. Despite warnings and evidence of failure, investors continued to fund Theranos. Founder Elizabeth Holmes remained committed to the flawed technology until the company was exposed to fraud, resulting in </w:t>
      </w:r>
      <w:r w:rsidR="003E7C7C">
        <w:t>significant</w:t>
      </w:r>
      <w:r>
        <w:t xml:space="preserve"> financial and legal repercussions.</w:t>
      </w:r>
    </w:p>
    <w:p w14:paraId="684148B1" w14:textId="77777777" w:rsidR="00C44B16" w:rsidRDefault="00C44B16" w:rsidP="00C44B16">
      <w:r>
        <w:t>Signs of escalation of commitment in business include:</w:t>
      </w:r>
    </w:p>
    <w:p w14:paraId="2B8EA13E" w14:textId="77777777" w:rsidR="00C44B16" w:rsidRDefault="00C44B16" w:rsidP="00D81274">
      <w:pPr>
        <w:pStyle w:val="ListParagraph"/>
        <w:numPr>
          <w:ilvl w:val="0"/>
          <w:numId w:val="16"/>
        </w:numPr>
      </w:pPr>
      <w:r>
        <w:t>Consistent underperformance: Projects that continually fail still receive more investment.</w:t>
      </w:r>
    </w:p>
    <w:p w14:paraId="19CC936E" w14:textId="77777777" w:rsidR="00C44B16" w:rsidRDefault="00C44B16" w:rsidP="00D81274">
      <w:pPr>
        <w:pStyle w:val="ListParagraph"/>
        <w:numPr>
          <w:ilvl w:val="0"/>
          <w:numId w:val="16"/>
        </w:numPr>
      </w:pPr>
      <w:r>
        <w:t>Reluctance to change:  Gatekeepers hesitate to modify or abandon a failing project despite clear evidence.</w:t>
      </w:r>
    </w:p>
    <w:p w14:paraId="3ADA3DED" w14:textId="58409683" w:rsidR="00C44B16" w:rsidRDefault="00C44B16" w:rsidP="00D81274">
      <w:pPr>
        <w:pStyle w:val="ListParagraph"/>
        <w:numPr>
          <w:ilvl w:val="0"/>
          <w:numId w:val="16"/>
        </w:numPr>
      </w:pPr>
      <w:r>
        <w:t>Overconfidence and resistance to training: Executives stick to outdated practices and are over-confident in their employees' capabilities.</w:t>
      </w:r>
    </w:p>
    <w:p w14:paraId="57692425" w14:textId="77777777" w:rsidR="000726EF" w:rsidRDefault="000726EF" w:rsidP="000726EF">
      <w:pPr>
        <w:pStyle w:val="ListParagraph"/>
      </w:pPr>
    </w:p>
    <w:p w14:paraId="0AA17787" w14:textId="77777777" w:rsidR="004A7453" w:rsidRDefault="004A7453" w:rsidP="004A7453">
      <w:pPr>
        <w:pStyle w:val="Heading3"/>
      </w:pPr>
      <w:r>
        <w:lastRenderedPageBreak/>
        <w:t>Sunk Cost Bias: How Past Investment Clouds Future Judgement</w:t>
      </w:r>
    </w:p>
    <w:p w14:paraId="543BE942" w14:textId="77777777" w:rsidR="00C44B16" w:rsidRDefault="00C44B16" w:rsidP="00C44B16">
      <w:r>
        <w:t>Sunk cost bias is a related issue where past investments lead to continued funding of failing projects. This bias can result in poor decision-making and resource allocation. Here are examples across different areas:</w:t>
      </w:r>
    </w:p>
    <w:p w14:paraId="197074BA" w14:textId="77777777" w:rsidR="00C44B16" w:rsidRDefault="00C44B16" w:rsidP="00C44B16">
      <w:r>
        <w:t>Research and Development (R&amp;D): Companies shall treat R&amp;D spending as sunk costs. For example, a tech company might keep funding a failing R&amp;D project simply because the money has already been spent rather than reallocating resources to more promising ventures.</w:t>
      </w:r>
    </w:p>
    <w:p w14:paraId="0A3ABEB1" w14:textId="77777777" w:rsidR="00C44B16" w:rsidRDefault="00C44B16" w:rsidP="00C44B16">
      <w:r>
        <w:t>Advertising: Money spent on marketing campaigns becomes a sunk cost. A business might continue funding a poor-performing campaign, hoping it will eventually succeed rather than shifting to more effective strategies.</w:t>
      </w:r>
    </w:p>
    <w:p w14:paraId="0AB24BD8" w14:textId="77777777" w:rsidR="00C44B16" w:rsidRDefault="00C44B16" w:rsidP="00C44B16">
      <w:r>
        <w:t>Specialty Equipment: If not reusable, equipment tailored to a specific product or service becomes a sunk cost. For example, a manufacturer might hesitate to stop a losing product line due to expensive, specialized machinery already purchased.</w:t>
      </w:r>
    </w:p>
    <w:p w14:paraId="75145224" w14:textId="77777777" w:rsidR="00C44B16" w:rsidRDefault="00C44B16" w:rsidP="00C44B16">
      <w:r>
        <w:t>Consultant Fees: Fees paid to consultants are sunk costs. A company might keep using an ineffective consultant because of the high fees already paid rather than seeking better advice.</w:t>
      </w:r>
    </w:p>
    <w:p w14:paraId="1187E951" w14:textId="27A02385" w:rsidR="00EE353F" w:rsidRDefault="00C44B16" w:rsidP="00C44B16">
      <w:r>
        <w:t>Businesses should cultivate a culture of flexibility and openness to change to avoid the sunk cost fallacy. Regularly reviewing projects and being willing to pivot or stop them when necessary can help businesses make more rational, value-oriented decisions.</w:t>
      </w:r>
    </w:p>
    <w:p w14:paraId="3F2C9F0E" w14:textId="69627FEF" w:rsidR="001B2C19" w:rsidRDefault="001B2C19" w:rsidP="00BD78C8">
      <w:pPr>
        <w:pStyle w:val="Heading3"/>
      </w:pPr>
      <w:r>
        <w:t xml:space="preserve">Avoid </w:t>
      </w:r>
      <w:r w:rsidR="003B59D8">
        <w:t>E</w:t>
      </w:r>
      <w:r>
        <w:t xml:space="preserve">scalation of </w:t>
      </w:r>
      <w:r w:rsidR="003B59D8">
        <w:t>C</w:t>
      </w:r>
      <w:r>
        <w:t xml:space="preserve">ommitment </w:t>
      </w:r>
    </w:p>
    <w:p w14:paraId="08318ECE" w14:textId="77777777" w:rsidR="00C44B16" w:rsidRDefault="00C44B16" w:rsidP="00C44B16">
      <w:r>
        <w:t xml:space="preserve">Decision-makers must understand the key factors driving commitment escalation to counter this bias. Barry </w:t>
      </w:r>
      <w:proofErr w:type="spellStart"/>
      <w:r>
        <w:t>Staw</w:t>
      </w:r>
      <w:proofErr w:type="spellEnd"/>
      <w:r>
        <w:t>, a professor emeritus at the University of California, Berkeley, identified project-related and psychological factors contributing to escalation.</w:t>
      </w:r>
    </w:p>
    <w:p w14:paraId="7040271C" w14:textId="77777777" w:rsidR="00C44B16" w:rsidRDefault="00C44B16" w:rsidP="00C44B16">
      <w:r>
        <w:lastRenderedPageBreak/>
        <w:t>Project-related factors: Recognize problems early and reevaluate decisions when significant issues arise. Proper planning from the start can prevent irreversible commitments.</w:t>
      </w:r>
    </w:p>
    <w:p w14:paraId="1540A597" w14:textId="4FDF127C" w:rsidR="00C44B16" w:rsidRDefault="00C44B16" w:rsidP="00C44B16">
      <w:r>
        <w:t>Psychological factors: Managers may be overly optimistic, overestimating project value while underestimating risks and costs. They might also fall into self-justification, continuing to invest in a failing project to avoid appearing incompetent. Cultural emphasis on persistence can exacerbate this.</w:t>
      </w:r>
    </w:p>
    <w:p w14:paraId="6C1D41A8" w14:textId="77777777" w:rsidR="00C44B16" w:rsidRDefault="00C44B16" w:rsidP="00C44B16">
      <w:r>
        <w:t>To address these issues:</w:t>
      </w:r>
    </w:p>
    <w:p w14:paraId="396CC5E3" w14:textId="2EF830E2" w:rsidR="00C44B16" w:rsidRDefault="00C44B16" w:rsidP="00D81274">
      <w:pPr>
        <w:pStyle w:val="ListParagraph"/>
        <w:numPr>
          <w:ilvl w:val="0"/>
          <w:numId w:val="17"/>
        </w:numPr>
      </w:pPr>
      <w:r>
        <w:t>Individual strategy: Recognize the bias toward overcommitment and periodically assess whether there is excessive commitment to a project. Reflect on whether a decision-maker struggles to consider others' concerns or ties an individual's career success solely to the project's outcome.</w:t>
      </w:r>
    </w:p>
    <w:p w14:paraId="1CF0790C" w14:textId="26E98D3E" w:rsidR="00C44B16" w:rsidRDefault="00C44B16" w:rsidP="00D81274">
      <w:pPr>
        <w:pStyle w:val="ListParagraph"/>
        <w:numPr>
          <w:ilvl w:val="0"/>
          <w:numId w:val="17"/>
        </w:numPr>
      </w:pPr>
      <w:r>
        <w:t>Organizational strategy: Implement structured decision-making approaches, such as a stage-gate process with independent assessments. Use business information systems to track project outcomes and facilitate transparent decision-making. For example, NASA's decision to cancel the Constellation Program and Procter &amp; Gamble's sale of underperforming beauty brands were guided by comprehensive data analysis and transparent evaluation.</w:t>
      </w:r>
    </w:p>
    <w:p w14:paraId="09AE0E33" w14:textId="409D0A2F" w:rsidR="00B562C6" w:rsidRDefault="00C44B16" w:rsidP="001B2C19">
      <w:r>
        <w:t>Creating a supportive environment where decision-makers feel safe acknowledging and correcting mistakes fosters a culture of continuous improvement and rational decision-making</w:t>
      </w:r>
      <w:r w:rsidR="000726EF">
        <w:t>.</w:t>
      </w:r>
    </w:p>
    <w:p w14:paraId="61256F2F" w14:textId="091C0ECC" w:rsidR="0020066C" w:rsidRPr="0020066C" w:rsidRDefault="00911A07" w:rsidP="00B30888">
      <w:pPr>
        <w:pStyle w:val="Heading3"/>
        <w:rPr>
          <w:color w:val="000000"/>
        </w:rPr>
      </w:pPr>
      <w:r>
        <w:t>Business Case: Escalation of Commitment in the Volkswagen Diesel Emissions Scandal</w:t>
      </w:r>
    </w:p>
    <w:p w14:paraId="68475E26" w14:textId="45CCCB67" w:rsidR="00C44B16" w:rsidRDefault="00C44B16" w:rsidP="00C44B16">
      <w:r>
        <w:t xml:space="preserve">The Volkswagen diesel emissions scandal, or "Diesel </w:t>
      </w:r>
      <w:r w:rsidR="003E7C7C">
        <w:t>G</w:t>
      </w:r>
      <w:r>
        <w:t>ate," is a prominent example of escalation of commitment. In September 2015, the U.S. Environmental Protection Agency (EPA) revealed that VW had installed "defeat devices" in their vehicles. These devices were software that manipulated emissions tests, making the cars appear environmentally friendly while emitting much higher levels of harmful nitrogen oxides (NOx) under normal driving conditions.</w:t>
      </w:r>
    </w:p>
    <w:p w14:paraId="14F3CBDF" w14:textId="77777777" w:rsidR="00C44B16" w:rsidRPr="00C44B16" w:rsidRDefault="00C44B16" w:rsidP="00C44B16">
      <w:pPr>
        <w:rPr>
          <w:b/>
          <w:bCs/>
        </w:rPr>
      </w:pPr>
      <w:r w:rsidRPr="00C44B16">
        <w:rPr>
          <w:b/>
          <w:bCs/>
        </w:rPr>
        <w:lastRenderedPageBreak/>
        <w:t>Escalation of Commitment at Play</w:t>
      </w:r>
    </w:p>
    <w:p w14:paraId="67E0EB59" w14:textId="77777777" w:rsidR="00C44B16" w:rsidRDefault="00C44B16" w:rsidP="00C44B16">
      <w:r>
        <w:t>VW initially chose diesel technology to meet the growing demand for fuel-efficient and environmentally friendly vehicles. However, when it became clear that their diesel engines could not meet stringent emissions standards, VW executives chose to double down on their existing strategy by investing in a fraudulent solution rather than admitting failure. This decision was driven by the significant past investments, the potential costs of changing direction, and the desire to maintain market share.</w:t>
      </w:r>
    </w:p>
    <w:p w14:paraId="3AB19E28" w14:textId="77777777" w:rsidR="00C44B16" w:rsidRDefault="00C44B16" w:rsidP="00C44B16">
      <w:r>
        <w:t>Despite growing internal awareness of the deception and its risks, VW escalated its commitment by expanding the use of the cheat software across more vehicle models and markets. The fear of financial losses, reputational damage, and pressure to meet sales targets reinforced this flawed course of action.</w:t>
      </w:r>
    </w:p>
    <w:p w14:paraId="4B0D42CA" w14:textId="1DCC0768" w:rsidR="00C44B16" w:rsidRDefault="00C44B16" w:rsidP="00C44B16">
      <w:r>
        <w:t xml:space="preserve">In 2014, independent researchers at the International Council on Clean Transportation (ICCT) conducted real-world emissions tests and found that VW vehicles emitted up to 40 times the permissible levels of NOx. Initially, VW attributed these discrepancies to technical issues, but further testing by the California Air Resources Board (CARB) in 2015 confirmed the high emissions levels. In September 2015, the EPA issued a Notice of Violation, bringing the </w:t>
      </w:r>
      <w:r w:rsidR="006C27C2">
        <w:t xml:space="preserve">Diesel </w:t>
      </w:r>
      <w:r w:rsidR="003E7C7C">
        <w:t>G</w:t>
      </w:r>
      <w:r w:rsidR="006C27C2">
        <w:t>ate</w:t>
      </w:r>
      <w:r>
        <w:t xml:space="preserve"> scandal into the public eye. Shortly after, Volkswagen admitted to installing defeat devices in approximately 11 million vehicles worldwide.</w:t>
      </w:r>
    </w:p>
    <w:p w14:paraId="56C82C8D" w14:textId="77777777" w:rsidR="00C44B16" w:rsidRPr="00C44B16" w:rsidRDefault="00C44B16" w:rsidP="00C44B16">
      <w:pPr>
        <w:rPr>
          <w:b/>
          <w:bCs/>
        </w:rPr>
      </w:pPr>
      <w:r w:rsidRPr="00C44B16">
        <w:rPr>
          <w:b/>
          <w:bCs/>
        </w:rPr>
        <w:t>Impact</w:t>
      </w:r>
    </w:p>
    <w:p w14:paraId="58621003" w14:textId="6980D7C3" w:rsidR="00C44B16" w:rsidRDefault="00C44B16" w:rsidP="00C44B16">
      <w:r>
        <w:t xml:space="preserve">The emissions cheating scandal had severe consequences for Volkswagen (VW). The company faced </w:t>
      </w:r>
      <w:r w:rsidR="003E7C7C">
        <w:t>significant</w:t>
      </w:r>
      <w:r>
        <w:t xml:space="preserve"> financial penalties: a $2.8 billion criminal fine, a $1.5 billion civil penalty, and a $14.7 billion settlement covering vehicle buybacks, environmental fixes, and consumer compensation. VW's U.S. sales dropped 25% in October 2015 compared to the previous year, and though recovery started in 2017, VW's U.S. market share stayed below pre-scandal levels by 2018.</w:t>
      </w:r>
    </w:p>
    <w:p w14:paraId="450D276B" w14:textId="77777777" w:rsidR="00C44B16" w:rsidRPr="00C44B16" w:rsidRDefault="00C44B16" w:rsidP="00C44B16">
      <w:pPr>
        <w:rPr>
          <w:b/>
          <w:bCs/>
        </w:rPr>
      </w:pPr>
      <w:r w:rsidRPr="00C44B16">
        <w:rPr>
          <w:b/>
          <w:bCs/>
        </w:rPr>
        <w:t>Lessons Learned</w:t>
      </w:r>
    </w:p>
    <w:p w14:paraId="24AE1607" w14:textId="77777777" w:rsidR="00C44B16" w:rsidRDefault="00C44B16" w:rsidP="00D81274">
      <w:pPr>
        <w:pStyle w:val="ListParagraph"/>
        <w:numPr>
          <w:ilvl w:val="0"/>
          <w:numId w:val="18"/>
        </w:numPr>
      </w:pPr>
      <w:r>
        <w:lastRenderedPageBreak/>
        <w:t>The Volkswagen scandal illustrates the dangers of escalating commitment to failing projects. Key lessons include:</w:t>
      </w:r>
    </w:p>
    <w:p w14:paraId="458FE26F" w14:textId="77777777" w:rsidR="00C44B16" w:rsidRDefault="00C44B16" w:rsidP="00D81274">
      <w:pPr>
        <w:pStyle w:val="ListParagraph"/>
        <w:numPr>
          <w:ilvl w:val="0"/>
          <w:numId w:val="18"/>
        </w:numPr>
      </w:pPr>
      <w:r>
        <w:t>Establish Clear Exit Criteria: Set benchmarks for when to abandon a project to avoid sticking with failing strategies.</w:t>
      </w:r>
    </w:p>
    <w:p w14:paraId="3BEE98A3" w14:textId="77777777" w:rsidR="00C44B16" w:rsidRDefault="00C44B16" w:rsidP="00D81274">
      <w:pPr>
        <w:pStyle w:val="ListParagraph"/>
        <w:numPr>
          <w:ilvl w:val="0"/>
          <w:numId w:val="18"/>
        </w:numPr>
      </w:pPr>
      <w:r>
        <w:t>Value Dissenting Opinions: Encourage a transparent culture where employees can express concerns and challenge decisions.</w:t>
      </w:r>
    </w:p>
    <w:p w14:paraId="4B6276A9" w14:textId="77777777" w:rsidR="00C44B16" w:rsidRDefault="00C44B16" w:rsidP="00D81274">
      <w:pPr>
        <w:pStyle w:val="ListParagraph"/>
        <w:numPr>
          <w:ilvl w:val="0"/>
          <w:numId w:val="18"/>
        </w:numPr>
      </w:pPr>
      <w:r>
        <w:t>Prioritize Strategic Decision-Making: Focus on long-term impacts rather than short-term gains.</w:t>
      </w:r>
    </w:p>
    <w:p w14:paraId="1B6F1C3F" w14:textId="77777777" w:rsidR="00C44B16" w:rsidRDefault="00C44B16" w:rsidP="00D81274">
      <w:pPr>
        <w:pStyle w:val="ListParagraph"/>
        <w:numPr>
          <w:ilvl w:val="0"/>
          <w:numId w:val="18"/>
        </w:numPr>
      </w:pPr>
      <w:r>
        <w:t>Regular Evaluation: Continuously assess the risks and benefits of ongoing investments.</w:t>
      </w:r>
    </w:p>
    <w:p w14:paraId="7B3CA340" w14:textId="1C39E9A0" w:rsidR="0020066C" w:rsidRDefault="00C44B16" w:rsidP="00B30888">
      <w:r>
        <w:t>These lessons allow companies to avoid similar pitfalls and make more informed decisions.</w:t>
      </w:r>
    </w:p>
    <w:p w14:paraId="1A254CF8" w14:textId="77777777" w:rsidR="004239CD" w:rsidRDefault="004239CD" w:rsidP="008730FF"/>
    <w:p w14:paraId="2053E571" w14:textId="2588955A" w:rsidR="008730FF" w:rsidRDefault="008730FF" w:rsidP="008730FF">
      <w:pPr>
        <w:pStyle w:val="Heading2"/>
      </w:pPr>
      <w:bookmarkStart w:id="43" w:name="_Toc191026923"/>
      <w:bookmarkStart w:id="44" w:name="_Hlk168650271"/>
      <w:r>
        <w:t>M</w:t>
      </w:r>
      <w:r w:rsidRPr="00712726">
        <w:t xml:space="preserve">ental </w:t>
      </w:r>
      <w:r w:rsidR="00B751D5">
        <w:t>A</w:t>
      </w:r>
      <w:r w:rsidRPr="00712726">
        <w:t>ccounting</w:t>
      </w:r>
      <w:r w:rsidR="009C509C">
        <w:t>: Why We Spend Bonus Money Faster Than Salary</w:t>
      </w:r>
      <w:bookmarkEnd w:id="43"/>
    </w:p>
    <w:p w14:paraId="1235603F" w14:textId="18EFAEA0" w:rsidR="00D96E24" w:rsidRPr="00D96E24" w:rsidRDefault="00D96E24" w:rsidP="00D96E24">
      <w:pPr>
        <w:rPr>
          <w:rFonts w:eastAsiaTheme="majorEastAsia"/>
        </w:rPr>
      </w:pPr>
      <w:r>
        <w:rPr>
          <w:rFonts w:eastAsiaTheme="majorEastAsia"/>
        </w:rPr>
        <w:t>I</w:t>
      </w:r>
      <w:r w:rsidRPr="00D96E24">
        <w:rPr>
          <w:rFonts w:eastAsiaTheme="majorEastAsia"/>
        </w:rPr>
        <w:t>magine receiving a bonus at work. Many people view this extra money as "free" and spend it more liberally than their regular salary. This behavior illustrates a concept known as mental accounting, coined by economist Richard Thaler in his 1999 paper "Mental Accounting Matters." Mental accounting is the psychological process of categorizing and treating money differently based on its source or intended use. Although all money is fundamentally the same, this mental categorization influences how we perceive and spend it.</w:t>
      </w:r>
    </w:p>
    <w:p w14:paraId="24B9F95A" w14:textId="77777777" w:rsidR="00D96E24" w:rsidRPr="00D96E24" w:rsidRDefault="00D96E24" w:rsidP="00D96E24">
      <w:pPr>
        <w:rPr>
          <w:rFonts w:eastAsiaTheme="majorEastAsia"/>
        </w:rPr>
      </w:pPr>
      <w:r w:rsidRPr="00D96E24">
        <w:rPr>
          <w:rFonts w:eastAsiaTheme="majorEastAsia"/>
        </w:rPr>
        <w:t xml:space="preserve">Spending money differently based on its source may seem irrational from a purely financial standpoint, but it is a strategic tool for business. In portfolio management, companies can strategically leverage mental accounting alongside other principles like risk management and financial optimization to enhance their decision-making processes. By categorizing funds based on their strategic purpose, companies can make more fit-for-purpose investment decisions, ensuring that resource allocations </w:t>
      </w:r>
      <w:r w:rsidRPr="00D96E24">
        <w:rPr>
          <w:rFonts w:eastAsiaTheme="majorEastAsia"/>
        </w:rPr>
        <w:lastRenderedPageBreak/>
        <w:t>closely align with both short-term needs and long-term objectives. This structured approach helps manage risks and optimizes the company's financial performance.</w:t>
      </w:r>
    </w:p>
    <w:p w14:paraId="48679586" w14:textId="7A43DFDA" w:rsidR="00FD5144" w:rsidRDefault="00D96E24" w:rsidP="00D96E24">
      <w:pPr>
        <w:rPr>
          <w:rFonts w:eastAsiaTheme="majorEastAsia"/>
          <w:highlight w:val="yellow"/>
        </w:rPr>
      </w:pPr>
      <w:r w:rsidRPr="00D96E24">
        <w:rPr>
          <w:rFonts w:eastAsiaTheme="majorEastAsia"/>
        </w:rPr>
        <w:t>For example, a portfolio manager might allocate funds into distinct categories based on their intended use: strategic and business-as-usual investments. Strategic investments are directed toward long-term goals such as innovation and sustainable growth, while business investments focus on short-term gains and immediate returns</w:t>
      </w:r>
      <w:r w:rsidR="00FD5144" w:rsidRPr="00FD5144">
        <w:rPr>
          <w:rFonts w:eastAsiaTheme="majorEastAsia"/>
        </w:rPr>
        <w:t xml:space="preserve">. </w:t>
      </w:r>
    </w:p>
    <w:p w14:paraId="16044415" w14:textId="00DEF5CD" w:rsidR="0093730A" w:rsidRDefault="0093730A" w:rsidP="0093730A">
      <w:pPr>
        <w:pStyle w:val="Heading3"/>
      </w:pPr>
      <w:bookmarkStart w:id="45" w:name="_Hlk168651344"/>
      <w:bookmarkStart w:id="46" w:name="_Hlk168392692"/>
      <w:bookmarkEnd w:id="44"/>
      <w:r>
        <w:t>Business Case: Leverag</w:t>
      </w:r>
      <w:r w:rsidR="006C27C2">
        <w:t>e</w:t>
      </w:r>
      <w:r>
        <w:t xml:space="preserve"> Mental Accounting in Technology Portfolio Management</w:t>
      </w:r>
    </w:p>
    <w:p w14:paraId="63CE08B1" w14:textId="77777777" w:rsidR="00D96E24" w:rsidRDefault="00D96E24" w:rsidP="00D96E24">
      <w:r>
        <w:t>A large international company faces the challenge of transforming the market from traditional oil and gas to sustainable energy. To achieve this transformation, the company must optimize its R&amp;D portfolio to balance short-term financial performance with long-term strategic goals, maximizing potential returns while minimizing execution risks.</w:t>
      </w:r>
    </w:p>
    <w:p w14:paraId="7230545A" w14:textId="77777777" w:rsidR="00D96E24" w:rsidRPr="00D96E24" w:rsidRDefault="00D96E24" w:rsidP="00D96E24">
      <w:pPr>
        <w:rPr>
          <w:b/>
          <w:bCs/>
        </w:rPr>
      </w:pPr>
      <w:r w:rsidRPr="00D96E24">
        <w:rPr>
          <w:b/>
          <w:bCs/>
        </w:rPr>
        <w:t>Mental Accounting in Action</w:t>
      </w:r>
    </w:p>
    <w:p w14:paraId="4320E9AC" w14:textId="77777777" w:rsidR="00D96E24" w:rsidRDefault="00D96E24" w:rsidP="00D96E24">
      <w:r>
        <w:t>Strategic Categorization: The company categorizes its technology portfolio into two distinct programs. Strategic Programs focus on high-risk, high-reward projects aligned with long-term goals, such as reducing carbon emissions and advancing sustainable technologies. These projects require solid corporate support, the development of new capabilities, and a sustained investment. Business Programs, on the other hand, target short-term financial objectives, emphasizing quick wins and immediate returns on investment.</w:t>
      </w:r>
    </w:p>
    <w:p w14:paraId="60B13164" w14:textId="77777777" w:rsidR="00D96E24" w:rsidRDefault="00D96E24" w:rsidP="00D96E24">
      <w:r>
        <w:t>Dynamic Resource Allocation: The company establishes frequent joint portfolio reviews with businesses to stay aligned with evolving market opportunities and risk profiles. This dynamic approach allows for timely adjustments in resource allocation, ensuring that the portfolio remains responsive to changing global sustainability expectations. The company maximizes overall value by optimizing its portfolio while minimizing risks associated with project execution and market shifts.</w:t>
      </w:r>
    </w:p>
    <w:p w14:paraId="08C0B53B" w14:textId="1AD90604" w:rsidR="00D96E24" w:rsidRDefault="00D96E24" w:rsidP="00D96E24">
      <w:r>
        <w:lastRenderedPageBreak/>
        <w:t xml:space="preserve">Data-Driven Decision-Making: Portfolio analysts evaluate each program category using specific criteria. Strategic projects are assessed based on their potential to achieve long-term corporate goals and sustainability objectives, while business projects are measured against short-term financial metrics. The distinctions ensure that all investment decisions align with the company's broader risk management objectives, </w:t>
      </w:r>
      <w:r w:rsidR="003E7C7C">
        <w:t>economic</w:t>
      </w:r>
      <w:r>
        <w:t xml:space="preserve"> optimization, and strategic growth.</w:t>
      </w:r>
    </w:p>
    <w:p w14:paraId="63F53B20" w14:textId="77777777" w:rsidR="00D96E24" w:rsidRPr="00D96E24" w:rsidRDefault="00D96E24" w:rsidP="00D96E24">
      <w:pPr>
        <w:rPr>
          <w:b/>
          <w:bCs/>
        </w:rPr>
      </w:pPr>
      <w:r w:rsidRPr="00D96E24">
        <w:rPr>
          <w:b/>
          <w:bCs/>
        </w:rPr>
        <w:t>Impact</w:t>
      </w:r>
    </w:p>
    <w:p w14:paraId="51EA1849" w14:textId="774C8A4B" w:rsidR="00D96E24" w:rsidRDefault="003E7C7C" w:rsidP="00D96E24">
      <w:r>
        <w:t>By leveraging mental accounting principles, the company successfully transformed its traditional R&amp;D portfolio from conventional energy technologies to sustainability solution</w:t>
      </w:r>
      <w:r w:rsidR="00D96E24">
        <w:t>s. This strategic shift was driven by developing a ten-year capital investment plan to pilot and deploy these new solutions to realize the total value of its R&amp;D investments. The structured portfolio governance process ensures continuous optimization, maximizing potential returns while minimizing investment risks across the portfolio.</w:t>
      </w:r>
    </w:p>
    <w:p w14:paraId="1CB2844F" w14:textId="6CA508A8" w:rsidR="00D96E24" w:rsidRPr="00D96E24" w:rsidRDefault="00D96E24" w:rsidP="00D96E24">
      <w:pPr>
        <w:rPr>
          <w:b/>
          <w:bCs/>
        </w:rPr>
      </w:pPr>
      <w:r>
        <w:rPr>
          <w:b/>
          <w:bCs/>
        </w:rPr>
        <w:t>Best Practices</w:t>
      </w:r>
    </w:p>
    <w:p w14:paraId="078A91BC" w14:textId="12E7B8DA" w:rsidR="00D96E24" w:rsidRDefault="00D96E24" w:rsidP="00D96E24">
      <w:r>
        <w:t>Best practices for applying mental accounting in investment decision-making include:</w:t>
      </w:r>
    </w:p>
    <w:p w14:paraId="6A059443" w14:textId="77777777" w:rsidR="00D96E24" w:rsidRDefault="00D96E24" w:rsidP="00D81274">
      <w:pPr>
        <w:pStyle w:val="ListParagraph"/>
        <w:numPr>
          <w:ilvl w:val="0"/>
          <w:numId w:val="19"/>
        </w:numPr>
      </w:pPr>
      <w:r>
        <w:t>Categorize Investments: Align strategic and business projects with long-term goals and immediate financial needs.</w:t>
      </w:r>
    </w:p>
    <w:p w14:paraId="7315CCAB" w14:textId="77777777" w:rsidR="00D96E24" w:rsidRDefault="00D96E24" w:rsidP="00D81274">
      <w:pPr>
        <w:pStyle w:val="ListParagraph"/>
        <w:numPr>
          <w:ilvl w:val="0"/>
          <w:numId w:val="19"/>
        </w:numPr>
      </w:pPr>
      <w:r>
        <w:t>Use Data-Driven Criteria: Ensure investment decisions support risk management, financial optimization, and strategic growth.</w:t>
      </w:r>
    </w:p>
    <w:p w14:paraId="26599F67" w14:textId="77777777" w:rsidR="00D96E24" w:rsidRDefault="00D96E24" w:rsidP="00D81274">
      <w:pPr>
        <w:pStyle w:val="ListParagraph"/>
        <w:numPr>
          <w:ilvl w:val="0"/>
          <w:numId w:val="19"/>
        </w:numPr>
      </w:pPr>
      <w:r>
        <w:t>Continuously Optimize Portfolio: Regularly adjust and refine the portfolio based on evolving market dynamics to maximize value and minimize risks.</w:t>
      </w:r>
    </w:p>
    <w:p w14:paraId="284349EF" w14:textId="54A0E9D5" w:rsidR="0012644D" w:rsidRDefault="00D96E24" w:rsidP="00D81274">
      <w:pPr>
        <w:pStyle w:val="ListParagraph"/>
        <w:numPr>
          <w:ilvl w:val="0"/>
          <w:numId w:val="19"/>
        </w:numPr>
      </w:pPr>
      <w:r>
        <w:t>Ensure Effective Governance: Maintain a structured decision-making framework to guide investments and monitor performance</w:t>
      </w:r>
      <w:r w:rsidR="00861639">
        <w:t>.</w:t>
      </w:r>
    </w:p>
    <w:p w14:paraId="6AACBA82" w14:textId="4F975578" w:rsidR="0012644D" w:rsidRDefault="0012644D" w:rsidP="0012644D">
      <w:pPr>
        <w:pStyle w:val="Heading2"/>
      </w:pPr>
      <w:bookmarkStart w:id="47" w:name="_Toc191026924"/>
      <w:r>
        <w:lastRenderedPageBreak/>
        <w:t>Summary: Navigat</w:t>
      </w:r>
      <w:r w:rsidR="006C27C2">
        <w:t>e</w:t>
      </w:r>
      <w:r>
        <w:t xml:space="preserve"> Business Judgment Fallacies</w:t>
      </w:r>
      <w:bookmarkEnd w:id="47"/>
    </w:p>
    <w:p w14:paraId="148ED60F" w14:textId="2AFC7AA0" w:rsidR="00D96E24" w:rsidRDefault="00D96E24" w:rsidP="00D96E24">
      <w:r>
        <w:t>In uncertain business environments, decision-makers often face psychological biases that distort judgment and impact outcomes. This chapter explores four common fallacies—the endowment effect, status quo bias, escalation of commitment, and mental accounting—</w:t>
      </w:r>
      <w:r w:rsidR="003E7C7C">
        <w:t>that frequently influence</w:t>
      </w:r>
      <w:r>
        <w:t xml:space="preserve"> decision-making.</w:t>
      </w:r>
    </w:p>
    <w:p w14:paraId="46B6B1AD" w14:textId="77777777" w:rsidR="00D96E24" w:rsidRDefault="00D96E24" w:rsidP="00D96E24">
      <w:r>
        <w:t>The endowment effect leads individuals to overvalue possessions simply because they own them. For instance, IKEA leverages this bias by involving customers in creating and assembling products, enhancing their perceived value and satisfaction.</w:t>
      </w:r>
    </w:p>
    <w:p w14:paraId="69CB0479" w14:textId="77777777" w:rsidR="00D96E24" w:rsidRDefault="00D96E24" w:rsidP="00D96E24">
      <w:r>
        <w:t>Status quo bias causes resistance to change, even when better options are available. Nokia's failure to transition from its established mobile operating system exemplifies the pitfalls of this bias.</w:t>
      </w:r>
    </w:p>
    <w:p w14:paraId="2C7792DD" w14:textId="77777777" w:rsidR="00D96E24" w:rsidRDefault="00D96E24" w:rsidP="00D96E24">
      <w:r>
        <w:t>Escalation of commitment drives decision-makers to persist with failing projects due to previous investments despite clear evidence suggesting a need for change. Despite environmental concerns, Volkswagen's continued investment in diesel engines illustrates this fallacy.</w:t>
      </w:r>
    </w:p>
    <w:p w14:paraId="751AD72D" w14:textId="6B1284E0" w:rsidR="00861639" w:rsidRDefault="00D96E24" w:rsidP="00D96E24">
      <w:r>
        <w:t>Mental accounting involves categorizing and treating money differently based on its source or intended use. Applying mental accounting principles can help optimize investment portfolios by categorizing funds according to purposes, such as long-term goals and short-term returns</w:t>
      </w:r>
      <w:r w:rsidR="00861639">
        <w:t>.</w:t>
      </w:r>
    </w:p>
    <w:p w14:paraId="30496CCE" w14:textId="1457E5A0" w:rsidR="00861639" w:rsidRDefault="00861639" w:rsidP="0010788A">
      <w:pPr>
        <w:spacing w:before="0" w:after="160" w:line="259" w:lineRule="auto"/>
      </w:pPr>
      <w:r>
        <w:br w:type="page"/>
      </w:r>
    </w:p>
    <w:p w14:paraId="164F29C4" w14:textId="11892B9F" w:rsidR="0024182A" w:rsidRDefault="00AA6050" w:rsidP="0024182A">
      <w:pPr>
        <w:pStyle w:val="Heading1"/>
      </w:pPr>
      <w:bookmarkStart w:id="48" w:name="_Toc191026925"/>
      <w:bookmarkStart w:id="49" w:name="_Hlk171408617"/>
      <w:bookmarkEnd w:id="33"/>
      <w:bookmarkEnd w:id="45"/>
      <w:bookmarkEnd w:id="46"/>
      <w:r w:rsidRPr="00AA6050">
        <w:lastRenderedPageBreak/>
        <w:t>Thriv</w:t>
      </w:r>
      <w:r w:rsidR="006C27C2">
        <w:t>e</w:t>
      </w:r>
      <w:r w:rsidRPr="00AA6050">
        <w:t xml:space="preserve"> in Competitive Landscapes: </w:t>
      </w:r>
      <w:r w:rsidR="0010788A">
        <w:t>Mak</w:t>
      </w:r>
      <w:r w:rsidR="003B59D8">
        <w:t xml:space="preserve">e </w:t>
      </w:r>
      <w:r w:rsidRPr="00AA6050">
        <w:t xml:space="preserve">Decisions </w:t>
      </w:r>
      <w:r w:rsidR="0010788A">
        <w:t>in Negotiation</w:t>
      </w:r>
      <w:bookmarkEnd w:id="48"/>
    </w:p>
    <w:p w14:paraId="6B92DCEC" w14:textId="77777777" w:rsidR="00944294" w:rsidRDefault="00944294" w:rsidP="00944294">
      <w:r>
        <w:t>In today's competitive landscape, effective decision-making hinges on our ability to make well-informed judgments and strategically respond to others' actions. Healthy competition fosters growth and innovation, benefiting organizations and their customers over the long term. However, irrational responses to excessive competition can lead to harmful outcomes, necessitating a balance between competitiveness and prudence.</w:t>
      </w:r>
    </w:p>
    <w:p w14:paraId="5972800A" w14:textId="2E5CE42E" w:rsidR="0024182A" w:rsidRDefault="00944294" w:rsidP="00944294">
      <w:r>
        <w:t>This chapter first addresses the pitfalls of excessive competition, followed by the winner's curse, where overbidding leads to overvaluation. It then introduces game theory as a strategy for achieving mutually beneficial outcomes and highlights the importance of data-driven preparation for effective negotiation. The chapter distinguishes between distributive and integrative negotiation strategies, concluding with best practices and a systematic process for effectively navigating competitive landscapes and achieving win-win outcomes</w:t>
      </w:r>
      <w:r w:rsidR="0024182A">
        <w:t>.</w:t>
      </w:r>
    </w:p>
    <w:p w14:paraId="69CA375A" w14:textId="74BF942C" w:rsidR="00B406A9" w:rsidRDefault="00B406A9" w:rsidP="00190120">
      <w:pPr>
        <w:pStyle w:val="Heading2"/>
      </w:pPr>
      <w:bookmarkStart w:id="50" w:name="_Toc191026926"/>
      <w:bookmarkStart w:id="51" w:name="_Hlk168668458"/>
      <w:r>
        <w:t xml:space="preserve">Excessive </w:t>
      </w:r>
      <w:r w:rsidR="00944294">
        <w:t>C</w:t>
      </w:r>
      <w:r>
        <w:t>ompetition</w:t>
      </w:r>
      <w:bookmarkEnd w:id="50"/>
    </w:p>
    <w:p w14:paraId="2C7715A4" w14:textId="77777777" w:rsidR="00944294" w:rsidRDefault="00944294" w:rsidP="00944294">
      <w:r>
        <w:t>Excessive competition can drive companies to adopt aggressive strategies that lead to irrational and unsustainable outcomes. No players are immune to this trap, often driven by the fear of being outpaced by rivals.</w:t>
      </w:r>
    </w:p>
    <w:p w14:paraId="6F860E57" w14:textId="77777777" w:rsidR="00944294" w:rsidRDefault="00944294" w:rsidP="00944294">
      <w:r>
        <w:t>Consider the fierce rivalry among airlines over frequent flyer programs. In 1981, American Airlines introduced the first frequent flyer program, revolutionizing customer loyalty in the airline industry. Competitors quickly followed suit, intensifying the competition throughout the early 1980s with increasingly generous offers. However, by the early 1990s, this intense competition had created significant financial burdens for all involved. Analysts estimated that airlines were collectively liable for between $1.5 and $3 billion in free trips due to the accumulated frequent flyer miles.</w:t>
      </w:r>
    </w:p>
    <w:p w14:paraId="1248328D" w14:textId="04E110AD" w:rsidR="009E53D4" w:rsidRDefault="00944294" w:rsidP="00944294">
      <w:r>
        <w:lastRenderedPageBreak/>
        <w:t>This example illustrates the pitfalls of reactive decision-making in a highly competitive environment. What started as a strategy to gain a competitive edge escalated into a costly race, with airlines locked into a cycle of matching or exceeding each other's offers. Rather than drawing customers away from competitors, they incurred significant financial strain—a clear lesson on the dangers of unchecked rivalry.</w:t>
      </w:r>
    </w:p>
    <w:p w14:paraId="1D669756" w14:textId="48C477E9" w:rsidR="00B406A9" w:rsidRDefault="00B406A9" w:rsidP="00B406A9">
      <w:pPr>
        <w:pStyle w:val="Heading2"/>
      </w:pPr>
      <w:bookmarkStart w:id="52" w:name="_Toc191026927"/>
      <w:bookmarkStart w:id="53" w:name="_Hlk168668764"/>
      <w:bookmarkEnd w:id="51"/>
      <w:r>
        <w:t xml:space="preserve">Winner’s </w:t>
      </w:r>
      <w:r w:rsidR="00944294">
        <w:t>C</w:t>
      </w:r>
      <w:r>
        <w:t>urse</w:t>
      </w:r>
      <w:bookmarkEnd w:id="52"/>
    </w:p>
    <w:p w14:paraId="284018B3" w14:textId="4329693D" w:rsidR="00E85A31" w:rsidRDefault="0024182A" w:rsidP="00E85A31">
      <w:r>
        <w:t xml:space="preserve">Even the appear-winner of excessive competition seldom gains. </w:t>
      </w:r>
      <w:r w:rsidR="00E85A31">
        <w:t xml:space="preserve">The winner's curse occurs when the victor in an auction war overpays for an asset, often due to the intense desire to win. This phenomenon underscores the importance of evaluating the </w:t>
      </w:r>
      <w:r w:rsidR="003E7C7C">
        <w:t>actual</w:t>
      </w:r>
      <w:r w:rsidR="00E85A31">
        <w:t xml:space="preserve"> value of an </w:t>
      </w:r>
      <w:r w:rsidR="003E7C7C">
        <w:t>investmen</w:t>
      </w:r>
      <w:r w:rsidR="00E85A31">
        <w:t>t and avoiding emotional decision-making.</w:t>
      </w:r>
    </w:p>
    <w:p w14:paraId="299D62C5" w14:textId="77777777" w:rsidR="00E85A31" w:rsidRDefault="00E85A31" w:rsidP="00E85A31">
      <w:r>
        <w:t xml:space="preserve">A recent example occurred in 2017 when AT&amp;T and Verizon Wireless engaged in a bidding war over Straight Path Communications, a company holding valuable wireless spectrum assets for 5G technology. AT&amp;T initially offered $1.6 billion, but Verizon ultimately secured the deal with a $3.1 billion bid. The rapid escalation stunned industry investors, as it seemed both companies overestimated the value of Straight Path's assets. </w:t>
      </w:r>
    </w:p>
    <w:p w14:paraId="3760AF61" w14:textId="79783660" w:rsidR="00F30FD8" w:rsidRDefault="0024182A" w:rsidP="00E85A31">
      <w:r w:rsidRPr="0024182A">
        <w:t>This case highlights how reactive behaviors in excessive competition can lead to overbidding, resulting in significant financial consequences. Companies must carefully evaluate an asset’s value and remain vigilant against psychological pressures that can cloud judgment</w:t>
      </w:r>
      <w:r w:rsidR="00E85A31">
        <w:t>.</w:t>
      </w:r>
      <w:bookmarkStart w:id="54" w:name="_Hlk168688349"/>
      <w:bookmarkEnd w:id="53"/>
    </w:p>
    <w:p w14:paraId="6B555768" w14:textId="3DA67EF1" w:rsidR="00703382" w:rsidRPr="00FF4162" w:rsidRDefault="00703382" w:rsidP="00703382">
      <w:pPr>
        <w:pStyle w:val="Heading2"/>
      </w:pPr>
      <w:bookmarkStart w:id="55" w:name="_Toc191026928"/>
      <w:r w:rsidRPr="00FF4162">
        <w:t xml:space="preserve">Game </w:t>
      </w:r>
      <w:r w:rsidR="00FF4162" w:rsidRPr="00FF4162">
        <w:t>T</w:t>
      </w:r>
      <w:r w:rsidRPr="00FF4162">
        <w:t>heory</w:t>
      </w:r>
      <w:r w:rsidR="009E5F3D" w:rsidRPr="00FF4162">
        <w:t xml:space="preserve">: A Strategy for Win-Win </w:t>
      </w:r>
      <w:r w:rsidR="009F65CB">
        <w:t>Competition</w:t>
      </w:r>
      <w:bookmarkEnd w:id="55"/>
    </w:p>
    <w:p w14:paraId="23486DDA" w14:textId="77777777" w:rsidR="00944294" w:rsidRDefault="00944294" w:rsidP="00944294">
      <w:r>
        <w:t xml:space="preserve">Even the appear-winner of excessive competition seldom gains. The winner's curse occurs when the victor in an auction war overpays for an asset, often due to the intense desire to win. This phenomenon </w:t>
      </w:r>
      <w:r>
        <w:lastRenderedPageBreak/>
        <w:t>underscores the importance of evaluating the actual value of an investment and avoiding emotional decision-making.</w:t>
      </w:r>
    </w:p>
    <w:p w14:paraId="2CAB0B74" w14:textId="77777777" w:rsidR="00944294" w:rsidRDefault="00944294" w:rsidP="00944294">
      <w:r>
        <w:t xml:space="preserve">A recent example occurred in 2017 when AT&amp;T and Verizon Wireless engaged in a bidding war over Straight Path Communications, a company holding valuable wireless spectrum assets for 5G technology. AT&amp;T initially offered $1.6 billion, but Verizon ultimately secured the deal with a $3.1 billion bid. The rapid escalation stunned industry investors, as it seemed both companies overestimated the value of Straight Path's assets. </w:t>
      </w:r>
    </w:p>
    <w:p w14:paraId="6E53BDEA" w14:textId="7EDC320D" w:rsidR="0024182A" w:rsidRDefault="00944294" w:rsidP="00944294">
      <w:r>
        <w:t>This case highlights how reactive behaviors in excessive competition can lead to overbidding, resulting in significant financial consequences. Companies must carefully evaluate an asset's value and remain vigilant against psychological pressures that can cloud judgment</w:t>
      </w:r>
      <w:r w:rsidR="0024182A" w:rsidRPr="0024182A">
        <w:t>.</w:t>
      </w:r>
    </w:p>
    <w:p w14:paraId="136BB825" w14:textId="2068375B" w:rsidR="00F95991" w:rsidRDefault="00F95991" w:rsidP="00F95991">
      <w:pPr>
        <w:pStyle w:val="Heading3"/>
      </w:pPr>
      <w:r>
        <w:t>Connect Game Theory and Negotiation</w:t>
      </w:r>
    </w:p>
    <w:p w14:paraId="63E7C889" w14:textId="7DCE5656" w:rsidR="00F30FD8" w:rsidRDefault="00944294" w:rsidP="00F95991">
      <w:r w:rsidRPr="00944294">
        <w:t xml:space="preserve">Game theory's principles can significantly enhance negotiation strategies by fostering rational, evidence-based behaviors, </w:t>
      </w:r>
      <w:r>
        <w:t>main</w:t>
      </w:r>
      <w:r w:rsidRPr="00944294">
        <w:t>ly when aiming for win-win outcomes. Consider a negotiation between a software vendor and a client. By applying game theory, the vendor can anticipate the client's potential decision to develop in-house software if terms are unfavorable. Understanding this possibility allows the vendor to offer solutions that address the client's concerns, such as integrating additional features that enhance the client's existing systems. This approach aligns with the client's needs and strategically positions the vendor to achieve a favorable outcome. Game theory helps negotiators predict and shape the dynamics of their interactions, guiding them toward more effective and collaborative agreements.</w:t>
      </w:r>
    </w:p>
    <w:p w14:paraId="5F943B41" w14:textId="399FA4FB" w:rsidR="005837B1" w:rsidRDefault="009F65CB" w:rsidP="005837B1">
      <w:pPr>
        <w:pStyle w:val="Heading2"/>
      </w:pPr>
      <w:bookmarkStart w:id="56" w:name="_Toc191026929"/>
      <w:bookmarkEnd w:id="54"/>
      <w:r>
        <w:t>Prepar</w:t>
      </w:r>
      <w:r w:rsidR="006C27C2">
        <w:t xml:space="preserve">e </w:t>
      </w:r>
      <w:r w:rsidR="003B59D8">
        <w:t>f</w:t>
      </w:r>
      <w:r w:rsidR="006C27C2">
        <w:t>or</w:t>
      </w:r>
      <w:r w:rsidR="00296DF7">
        <w:t xml:space="preserve"> </w:t>
      </w:r>
      <w:r w:rsidR="0024182A">
        <w:t>Data-Driven Negotiation</w:t>
      </w:r>
      <w:bookmarkEnd w:id="56"/>
      <w:r w:rsidR="0024182A">
        <w:t xml:space="preserve"> </w:t>
      </w:r>
    </w:p>
    <w:p w14:paraId="29E98EF3" w14:textId="17782BB1" w:rsidR="00944294" w:rsidRDefault="00944294" w:rsidP="00944294">
      <w:bookmarkStart w:id="57" w:name="_Hlk168756017"/>
      <w:r>
        <w:t xml:space="preserve">Effective negotiation demands productive interactions backed by facts and data. However, negotiators often struggle to make decisions with limited information, so thorough preparation and strategic </w:t>
      </w:r>
      <w:r>
        <w:lastRenderedPageBreak/>
        <w:t>information sharing are crucial for success. Unlike the dramatic portrayals in movies, real-world negotiations require a systematic approach.</w:t>
      </w:r>
    </w:p>
    <w:p w14:paraId="001DDB05" w14:textId="77777777" w:rsidR="00944294" w:rsidRDefault="00944294" w:rsidP="00944294">
      <w:r>
        <w:t>Key Preparation Steps:</w:t>
      </w:r>
    </w:p>
    <w:p w14:paraId="14680105" w14:textId="05609750" w:rsidR="00944294" w:rsidRDefault="00944294" w:rsidP="00D81274">
      <w:pPr>
        <w:pStyle w:val="ListParagraph"/>
        <w:numPr>
          <w:ilvl w:val="0"/>
          <w:numId w:val="20"/>
        </w:numPr>
      </w:pPr>
      <w:r>
        <w:t>Identify Essential Terms: Understand the business terms or topics each party wants in the agreement. Identify:</w:t>
      </w:r>
    </w:p>
    <w:p w14:paraId="74FBEB1D" w14:textId="77777777" w:rsidR="00944294" w:rsidRDefault="00944294" w:rsidP="00D81274">
      <w:pPr>
        <w:pStyle w:val="ListParagraph"/>
        <w:numPr>
          <w:ilvl w:val="0"/>
          <w:numId w:val="21"/>
        </w:numPr>
      </w:pPr>
      <w:r>
        <w:t>Non-Negotiable Terms: These critical conditions, such as key product features or financial thresholds, must be met.</w:t>
      </w:r>
    </w:p>
    <w:p w14:paraId="7F77BEFC" w14:textId="77777777" w:rsidR="00944294" w:rsidRDefault="00944294" w:rsidP="00D81274">
      <w:pPr>
        <w:pStyle w:val="ListParagraph"/>
        <w:numPr>
          <w:ilvl w:val="0"/>
          <w:numId w:val="21"/>
        </w:numPr>
      </w:pPr>
      <w:r>
        <w:t>Terms Open to Compromise: Flexible conditions like payment schedules, where concessions can build goodwill.</w:t>
      </w:r>
    </w:p>
    <w:p w14:paraId="2FE6BAEA" w14:textId="77777777" w:rsidR="00944294" w:rsidRDefault="00944294" w:rsidP="00D81274">
      <w:pPr>
        <w:pStyle w:val="ListParagraph"/>
        <w:numPr>
          <w:ilvl w:val="0"/>
          <w:numId w:val="21"/>
        </w:numPr>
      </w:pPr>
      <w:r>
        <w:t>Terms of Little Importance to You but Significant to Your Counterpart: Items you can concede to add value for the other party without affecting your core interests.</w:t>
      </w:r>
    </w:p>
    <w:p w14:paraId="419D761B" w14:textId="77777777" w:rsidR="00944294" w:rsidRDefault="00944294" w:rsidP="00D81274">
      <w:pPr>
        <w:pStyle w:val="ListParagraph"/>
        <w:numPr>
          <w:ilvl w:val="0"/>
          <w:numId w:val="20"/>
        </w:numPr>
      </w:pPr>
      <w:r>
        <w:t>Understand Interests: Uncover each party's underlying interests and goals, helping to pinpoint where concessions are acceptable. For instance, if your counterpart prioritizes quality assurance for risk management, offering a solid quality guarantee could be a valuable concession.</w:t>
      </w:r>
    </w:p>
    <w:p w14:paraId="50C8AE24" w14:textId="77777777" w:rsidR="00944294" w:rsidRDefault="00944294" w:rsidP="00D81274">
      <w:pPr>
        <w:pStyle w:val="ListParagraph"/>
        <w:numPr>
          <w:ilvl w:val="0"/>
          <w:numId w:val="20"/>
        </w:numPr>
      </w:pPr>
      <w:r>
        <w:t>Determine Bottom Lines: Know your and your counterpart's bottom lines and the Best Alternative to a Negotiated Agreement (BATNA). This understanding provides leverage and helps gauge negotiation boundaries.</w:t>
      </w:r>
    </w:p>
    <w:p w14:paraId="1B9EFBAC" w14:textId="11D10198" w:rsidR="009F65CB" w:rsidRPr="00F95991" w:rsidRDefault="00944294" w:rsidP="00944294">
      <w:r>
        <w:t>By engaging in thoughtful preparation and information exchange, negotiators gain valuable insights into both parties' bottom lines, expectations, and underlying interests, laying the foundation for mutually acceptable agreements</w:t>
      </w:r>
      <w:r w:rsidR="009F65CB">
        <w:t>.</w:t>
      </w:r>
    </w:p>
    <w:p w14:paraId="3BE37E1E" w14:textId="2B819E02" w:rsidR="000D5A31" w:rsidRDefault="000D5A31" w:rsidP="004C0476">
      <w:pPr>
        <w:pStyle w:val="Heading2"/>
      </w:pPr>
      <w:bookmarkStart w:id="58" w:name="_Toc191026930"/>
      <w:r>
        <w:t xml:space="preserve">Distributive and Integrative </w:t>
      </w:r>
      <w:r w:rsidR="0024182A">
        <w:t xml:space="preserve">Negotiation </w:t>
      </w:r>
      <w:r>
        <w:t>Approaches</w:t>
      </w:r>
      <w:bookmarkEnd w:id="58"/>
    </w:p>
    <w:p w14:paraId="1513D29C" w14:textId="77777777" w:rsidR="00944294" w:rsidRDefault="00944294" w:rsidP="00944294">
      <w:r>
        <w:t>Negotiation is a versatile skill used in both personal and professional contexts. It often involves two main approaches: distributive and integrative.</w:t>
      </w:r>
    </w:p>
    <w:p w14:paraId="348370CE" w14:textId="77777777" w:rsidR="00944294" w:rsidRDefault="00944294" w:rsidP="00944294">
      <w:r>
        <w:lastRenderedPageBreak/>
        <w:t>Distributive negotiation focuses on claiming value within a fixed framework, operating on the premise that resources are limited. This zero-sum mindset drives each side to maximize its benefit at the expense of the other.</w:t>
      </w:r>
    </w:p>
    <w:p w14:paraId="18186368" w14:textId="4C52857C" w:rsidR="001C5663" w:rsidRDefault="00944294" w:rsidP="00944294">
      <w:r>
        <w:t>This process often begins with one party, a buyer, making the first offer. The buyer's initial offer is usually lower than their maximum acceptable price, known as the resistance point. Conversely, the seller's opening bid is often higher than their resistance point. Through counteroffers and bargaining, both parties aim to reach an agreement within the zone of possible agreement (ZOPA) between the buyer's and seller's resistance points</w:t>
      </w:r>
      <w:r w:rsidR="001C5663">
        <w:t>.</w:t>
      </w:r>
      <w:r w:rsidR="001C5663" w:rsidRPr="001C5663">
        <w:rPr>
          <w:noProof/>
        </w:rPr>
        <w:t xml:space="preserve"> </w:t>
      </w:r>
      <w:r w:rsidR="001C5663">
        <w:rPr>
          <w:noProof/>
        </w:rPr>
        <w:drawing>
          <wp:inline distT="0" distB="0" distL="0" distR="0" wp14:anchorId="484E8FC1" wp14:editId="0553FCFC">
            <wp:extent cx="4991100" cy="1359129"/>
            <wp:effectExtent l="0" t="0" r="0" b="0"/>
            <wp:docPr id="55010124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1240" name="Picture 1" descr="A close-up of a sig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1377" cy="1361927"/>
                    </a:xfrm>
                    <a:prstGeom prst="rect">
                      <a:avLst/>
                    </a:prstGeom>
                    <a:noFill/>
                  </pic:spPr>
                </pic:pic>
              </a:graphicData>
            </a:graphic>
          </wp:inline>
        </w:drawing>
      </w:r>
    </w:p>
    <w:p w14:paraId="4BB0AD41" w14:textId="77777777" w:rsidR="00944294" w:rsidRDefault="00944294" w:rsidP="00944294">
      <w:r>
        <w:t>While distributive negotiation might seem like a win-lose scenario, several tactics can enhance your negotiating position:</w:t>
      </w:r>
    </w:p>
    <w:p w14:paraId="53F36F41" w14:textId="77777777" w:rsidR="00944294" w:rsidRDefault="00944294" w:rsidP="00163005">
      <w:pPr>
        <w:pStyle w:val="ListParagraph"/>
        <w:numPr>
          <w:ilvl w:val="0"/>
          <w:numId w:val="5"/>
        </w:numPr>
      </w:pPr>
      <w:r>
        <w:t xml:space="preserve">Enhance Your BATNA: Explore other options to improve your alternatives. For example, a car buyer might compare prices at multiple dealerships to enhance their negotiating leverage. </w:t>
      </w:r>
    </w:p>
    <w:p w14:paraId="3CFFE5E2" w14:textId="77777777" w:rsidR="00944294" w:rsidRDefault="00944294" w:rsidP="00163005">
      <w:pPr>
        <w:pStyle w:val="ListParagraph"/>
        <w:numPr>
          <w:ilvl w:val="0"/>
          <w:numId w:val="5"/>
        </w:numPr>
      </w:pPr>
      <w:r>
        <w:t>Determine Your Resistance Point: Know your minimum acceptable outcome. For instance, an IT manager should calculate the cost of internal software development before negotiating with external suppliers.</w:t>
      </w:r>
    </w:p>
    <w:p w14:paraId="4022DDB4" w14:textId="77777777" w:rsidR="00944294" w:rsidRDefault="00944294" w:rsidP="00163005">
      <w:pPr>
        <w:pStyle w:val="ListParagraph"/>
        <w:numPr>
          <w:ilvl w:val="0"/>
          <w:numId w:val="5"/>
        </w:numPr>
      </w:pPr>
      <w:r>
        <w:t>Understand Your Counterpart: Estimate their BATNA and resistance point. Researching market conditions can reveal how far a seller might be willing to go.</w:t>
      </w:r>
    </w:p>
    <w:p w14:paraId="14A00AA0" w14:textId="13CB0B0C" w:rsidR="00944294" w:rsidRDefault="00944294" w:rsidP="00163005">
      <w:pPr>
        <w:pStyle w:val="ListParagraph"/>
        <w:numPr>
          <w:ilvl w:val="0"/>
          <w:numId w:val="5"/>
        </w:numPr>
      </w:pPr>
      <w:r>
        <w:t>Evaluate the ZOPA: Knowing this range helps tailor offers attractive to the other party while still meeting your needs.</w:t>
      </w:r>
    </w:p>
    <w:p w14:paraId="7CAE1236" w14:textId="41D20074" w:rsidR="00A74BF2" w:rsidRDefault="00A74BF2" w:rsidP="00A74BF2">
      <w:pPr>
        <w:pStyle w:val="Heading3"/>
      </w:pPr>
      <w:r>
        <w:lastRenderedPageBreak/>
        <w:t>Integrative Negotiation: Creating Win-Win Outcomes</w:t>
      </w:r>
    </w:p>
    <w:p w14:paraId="54B25AB9" w14:textId="77777777" w:rsidR="00944294" w:rsidRDefault="00944294" w:rsidP="0024182A">
      <w:r>
        <w:t xml:space="preserve">Integrative negotiation moves beyond the zero-sum mindset to seek solutions that create value for all involved. This collaborative approach aims to expand the "pie" by addressing each party's underlying interests rather than merely dividing it. Shifting from viewing the other party as an opponent to seeing them as collaborators can reveal joint gains that negotiators might otherwise miss. </w:t>
      </w:r>
    </w:p>
    <w:p w14:paraId="347849C9" w14:textId="34D74CF0" w:rsidR="00944294" w:rsidRDefault="006334AD" w:rsidP="007A55AD">
      <w:pPr>
        <w:pStyle w:val="Heading5"/>
      </w:pPr>
      <w:r w:rsidRPr="006334AD">
        <w:t>Business Case: Pfizer and BioNTech Collaboration</w:t>
      </w:r>
    </w:p>
    <w:p w14:paraId="470934D9" w14:textId="77777777" w:rsidR="00944294" w:rsidRDefault="00944294" w:rsidP="00944294">
      <w:r>
        <w:t>During the COVID-19 pandemic, Pfizer and BioNTech exemplified integrative negotiation through their collaboration. Pfizer, a leading pharmaceutical company with extensive vaccine development and distribution capabilities, aimed to bring a COVID-19 vaccine to market quickly. They were interested in leveraging their vast infrastructure to achieve global reach. In contrast, BioNTech, a smaller German biotechnology firm, had cutting-edge mRNA technology but needed more resources for large-scale production and distribution.</w:t>
      </w:r>
    </w:p>
    <w:p w14:paraId="473D33FC" w14:textId="77777777" w:rsidR="00944294" w:rsidRPr="00944294" w:rsidRDefault="00944294" w:rsidP="00944294">
      <w:pPr>
        <w:rPr>
          <w:b/>
          <w:bCs/>
        </w:rPr>
      </w:pPr>
      <w:r w:rsidRPr="00944294">
        <w:rPr>
          <w:b/>
          <w:bCs/>
        </w:rPr>
        <w:t>Integrative Negotiation at Play</w:t>
      </w:r>
    </w:p>
    <w:p w14:paraId="12002B82" w14:textId="77777777" w:rsidR="00944294" w:rsidRDefault="00944294" w:rsidP="00944294">
      <w:r>
        <w:t>Pfizer's goal was to expedite the vaccine's market entry, and they had two main options: develop the vaccine independently or partner with a company possessing advanced technology. BioNTech, aware of Pfizer's urgency and potential alternative options, was incentivized to offer favorable commercialization terms, including granting Pfizer greater control over the distribution process.</w:t>
      </w:r>
    </w:p>
    <w:p w14:paraId="2B91CF5A" w14:textId="77777777" w:rsidR="00944294" w:rsidRDefault="00944294" w:rsidP="00944294">
      <w:r>
        <w:t>On the other hand, BioNTech's BATNA involved continuing its vaccine development independently, a route fraught with significant time, investment, and risk, especially during a global health crisis. Understanding BioNTech's limitations, Pfizer proposed integrating BioNTech's mRNA technology with its manufacturing capabilities, making it more efficient and cost-effective for BioNTech to collaborate rather than go it alone.</w:t>
      </w:r>
    </w:p>
    <w:p w14:paraId="13CC8138" w14:textId="77777777" w:rsidR="00944294" w:rsidRPr="00944294" w:rsidRDefault="00944294" w:rsidP="00944294">
      <w:pPr>
        <w:rPr>
          <w:b/>
          <w:bCs/>
        </w:rPr>
      </w:pPr>
      <w:r w:rsidRPr="00944294">
        <w:rPr>
          <w:b/>
          <w:bCs/>
        </w:rPr>
        <w:lastRenderedPageBreak/>
        <w:t>Impact</w:t>
      </w:r>
    </w:p>
    <w:p w14:paraId="27860CCC" w14:textId="77777777" w:rsidR="00944294" w:rsidRDefault="00944294" w:rsidP="00944294">
      <w:r>
        <w:t>By thoroughly understanding each party's interests and BATNA, Pfizer and BioNTech adjusted their negotiation tactics. This approach led to a partnership that leveraged both companies' strengths, enabling them to develop, produce, and distribute a highly effective COVID-19 vaccine in record time. The collaboration benefited both companies and significantly contributed to global health, showcasing the power of integrative negotiation in achieving win-win outcomes.</w:t>
      </w:r>
    </w:p>
    <w:p w14:paraId="5CA5C493" w14:textId="77777777" w:rsidR="00944294" w:rsidRPr="00944294" w:rsidRDefault="00944294" w:rsidP="00944294">
      <w:pPr>
        <w:rPr>
          <w:b/>
          <w:bCs/>
        </w:rPr>
      </w:pPr>
      <w:r w:rsidRPr="00944294">
        <w:rPr>
          <w:b/>
          <w:bCs/>
        </w:rPr>
        <w:t>Lessons Learned</w:t>
      </w:r>
    </w:p>
    <w:p w14:paraId="5E732CC4" w14:textId="77777777" w:rsidR="00944294" w:rsidRDefault="00944294" w:rsidP="00D81274">
      <w:pPr>
        <w:pStyle w:val="ListParagraph"/>
        <w:numPr>
          <w:ilvl w:val="0"/>
          <w:numId w:val="22"/>
        </w:numPr>
      </w:pPr>
      <w:r>
        <w:t>Emphasize Collaboration: Integrative negotiation approaches can uncover joint gains that benefit all parties, leading to more sustainable and impactful outcomes.</w:t>
      </w:r>
    </w:p>
    <w:p w14:paraId="5251EE32" w14:textId="03895497" w:rsidR="00944294" w:rsidRDefault="00944294" w:rsidP="00D81274">
      <w:pPr>
        <w:pStyle w:val="ListParagraph"/>
        <w:numPr>
          <w:ilvl w:val="0"/>
          <w:numId w:val="22"/>
        </w:numPr>
      </w:pPr>
      <w:r>
        <w:t>Understand and Leverage interests: Knowing each party's interests helps negotiators craft agreements that align with the collaboration's broader goals.</w:t>
      </w:r>
    </w:p>
    <w:p w14:paraId="0E39D005" w14:textId="77777777" w:rsidR="0024182A" w:rsidRDefault="0024182A" w:rsidP="0024182A">
      <w:pPr>
        <w:pStyle w:val="ListParagraph"/>
      </w:pPr>
      <w:bookmarkStart w:id="59" w:name="_Hlk168776750"/>
      <w:bookmarkEnd w:id="57"/>
    </w:p>
    <w:p w14:paraId="34B859AC" w14:textId="05667602" w:rsidR="007A55AD" w:rsidRDefault="0024182A" w:rsidP="0024182A">
      <w:pPr>
        <w:pStyle w:val="Heading2"/>
      </w:pPr>
      <w:bookmarkStart w:id="60" w:name="_Toc191026931"/>
      <w:r>
        <w:t>Best</w:t>
      </w:r>
      <w:r w:rsidR="007A55AD">
        <w:t xml:space="preserve"> Practices for </w:t>
      </w:r>
      <w:r>
        <w:t>Integrative Negotiation</w:t>
      </w:r>
      <w:bookmarkEnd w:id="60"/>
      <w:r>
        <w:t xml:space="preserve"> </w:t>
      </w:r>
    </w:p>
    <w:p w14:paraId="03A6C6B0" w14:textId="77777777" w:rsidR="00944294" w:rsidRDefault="00944294" w:rsidP="00944294">
      <w:r>
        <w:t>Achieving successful outcomes in integrative negotiations requires strategic practices and active management. The following best practices, illustrated with real-world examples, offer actionable insights for turning conflicts into opportunities and building long-lasting partnerships.</w:t>
      </w:r>
    </w:p>
    <w:p w14:paraId="3020F9C6" w14:textId="77777777" w:rsidR="00944294" w:rsidRPr="00944294" w:rsidRDefault="00944294" w:rsidP="00944294">
      <w:pPr>
        <w:rPr>
          <w:b/>
          <w:bCs/>
        </w:rPr>
      </w:pPr>
      <w:r w:rsidRPr="00944294">
        <w:rPr>
          <w:b/>
          <w:bCs/>
        </w:rPr>
        <w:t>Practice #1: Cultivate a Win-Win Mindset</w:t>
      </w:r>
    </w:p>
    <w:p w14:paraId="7C1ADE5E" w14:textId="77777777" w:rsidR="00944294" w:rsidRDefault="00944294" w:rsidP="00944294">
      <w:r>
        <w:t>Adopt a collaborative approach to uncover mutually beneficial opportunities. For example, in a negotiation between an electric vehicle manufacturer and a battery supplier, the manufacturer proposes a co-development initiative to improve battery technology instead of focusing solely on price. This collaboration reduces costs and enhances the supplier's product offerings and the manufacturer's vehicle performance, creating a win-win situation for both parties.</w:t>
      </w:r>
    </w:p>
    <w:p w14:paraId="2DD1BA41" w14:textId="77777777" w:rsidR="00944294" w:rsidRPr="00944294" w:rsidRDefault="00944294" w:rsidP="00944294">
      <w:pPr>
        <w:rPr>
          <w:b/>
          <w:bCs/>
        </w:rPr>
      </w:pPr>
      <w:r w:rsidRPr="00944294">
        <w:rPr>
          <w:b/>
          <w:bCs/>
        </w:rPr>
        <w:lastRenderedPageBreak/>
        <w:t>Practice #2: Develop a Strategic Approach</w:t>
      </w:r>
    </w:p>
    <w:p w14:paraId="61E31E10" w14:textId="77777777" w:rsidR="00944294" w:rsidRDefault="00944294" w:rsidP="00944294">
      <w:r>
        <w:t>Formulate a strategy that emphasizes information sharing and mutual problem-solving. For example, pharmaceutical and biotechnology firms could agree to structured meetings to discuss research goals, share data, and address challenges. This approach helps both parties align their strategies and create a well-defined partnership agreement that addresses their mutual objectives.</w:t>
      </w:r>
    </w:p>
    <w:p w14:paraId="61052C78" w14:textId="77777777" w:rsidR="00944294" w:rsidRPr="00944294" w:rsidRDefault="00944294" w:rsidP="00944294">
      <w:pPr>
        <w:rPr>
          <w:b/>
          <w:bCs/>
        </w:rPr>
      </w:pPr>
      <w:r w:rsidRPr="00944294">
        <w:rPr>
          <w:b/>
          <w:bCs/>
        </w:rPr>
        <w:t>Practice #3: Clarify Importance and Value Internally</w:t>
      </w:r>
    </w:p>
    <w:p w14:paraId="1E87DD93" w14:textId="77777777" w:rsidR="00944294" w:rsidRDefault="00944294" w:rsidP="00944294">
      <w:r>
        <w:t>Internal negotiation can be just as important and challenging as external negotiation. The lead negotiator must ensure internal alignment on the significance of terms and boundaries before engaging in external negotiations. For example, before negotiating a strategic partnership, a technology firm might hold internal workshops to distinguish between crucial terms (e.g., intellectual property rights) and flexible terms (e.g., project timelines). This internal clarity ensures the firm presents a consistent and strong negotiating position.</w:t>
      </w:r>
    </w:p>
    <w:p w14:paraId="5D4C0C0B" w14:textId="77777777" w:rsidR="00944294" w:rsidRPr="00944294" w:rsidRDefault="00944294" w:rsidP="00944294">
      <w:pPr>
        <w:rPr>
          <w:b/>
          <w:bCs/>
        </w:rPr>
      </w:pPr>
      <w:r w:rsidRPr="00944294">
        <w:rPr>
          <w:b/>
          <w:bCs/>
        </w:rPr>
        <w:t>Practice #4: Emphasize Interests Over Positions</w:t>
      </w:r>
    </w:p>
    <w:p w14:paraId="4976F250" w14:textId="2092F12F" w:rsidR="00944294" w:rsidRDefault="00944294" w:rsidP="00944294">
      <w:r>
        <w:t xml:space="preserve">Focus on underlying interests rather than rigid positions. For example, during a service contract renewal, a company and its provider focus on the underlying interests: The provider wants long-term stability, while the company seeks high-quality service. </w:t>
      </w:r>
      <w:r w:rsidR="003914B6">
        <w:t>By addressing these interests, they reach a mutually beneficial agreement beyond mere cost reduction</w:t>
      </w:r>
      <w:r>
        <w:t>s.</w:t>
      </w:r>
    </w:p>
    <w:p w14:paraId="733ACB9D" w14:textId="77777777" w:rsidR="00944294" w:rsidRPr="00F80462" w:rsidRDefault="00944294" w:rsidP="00944294">
      <w:pPr>
        <w:rPr>
          <w:b/>
          <w:bCs/>
        </w:rPr>
      </w:pPr>
      <w:r w:rsidRPr="00F80462">
        <w:rPr>
          <w:b/>
          <w:bCs/>
        </w:rPr>
        <w:t>Practice #5: Cultivate Options for Mutual Gain</w:t>
      </w:r>
    </w:p>
    <w:p w14:paraId="31A23D19" w14:textId="403B51B2" w:rsidR="00944294" w:rsidRDefault="00944294" w:rsidP="00944294">
      <w:r>
        <w:t>Generate multiple options to expand potential solutions. For example, In negotiating a product development partnership, a company and a startup explore various models such as shared equity, milestone-based payments, or revenue-sharing. They select a model that maximizes benefits for both parties and aligns with their strategic goals.</w:t>
      </w:r>
    </w:p>
    <w:p w14:paraId="380EB3AF" w14:textId="77777777" w:rsidR="00944294" w:rsidRPr="00944294" w:rsidRDefault="00944294" w:rsidP="00944294">
      <w:pPr>
        <w:rPr>
          <w:b/>
          <w:bCs/>
        </w:rPr>
      </w:pPr>
      <w:r w:rsidRPr="00944294">
        <w:rPr>
          <w:b/>
          <w:bCs/>
        </w:rPr>
        <w:lastRenderedPageBreak/>
        <w:t>Practice #6: Navigate Intangible Factors and Cultural Sensitivities</w:t>
      </w:r>
    </w:p>
    <w:p w14:paraId="68D7DEAF" w14:textId="77777777" w:rsidR="00944294" w:rsidRDefault="00944294" w:rsidP="00944294">
      <w:r>
        <w:t>Acknowledge and respect cultural differences, particularly in international negotiations. For example, A U.S. company negotiates with a Japanese partner. The U.S. company builds a positive relationship by understanding and respecting Japanese decision-making hierarchies and communication styles, leading to a smoother and more successful negotiation process.</w:t>
      </w:r>
    </w:p>
    <w:p w14:paraId="29CCB6CD" w14:textId="77777777" w:rsidR="0024182A" w:rsidRDefault="0024182A" w:rsidP="0024182A"/>
    <w:p w14:paraId="2D8DA154" w14:textId="218B7603" w:rsidR="0024182A" w:rsidRDefault="0024182A" w:rsidP="0024182A">
      <w:pPr>
        <w:pStyle w:val="Heading2"/>
      </w:pPr>
      <w:bookmarkStart w:id="61" w:name="_Toc191026932"/>
      <w:r>
        <w:t>A Strategic Path to Integrative Negotiation</w:t>
      </w:r>
      <w:bookmarkEnd w:id="61"/>
    </w:p>
    <w:p w14:paraId="21B3823D" w14:textId="7F12C9C8" w:rsidR="00944294" w:rsidRDefault="00944294" w:rsidP="00944294">
      <w:r>
        <w:t xml:space="preserve">Integrative negotiation involves more than just understanding principles and tactical practices; it requires a cohesive strategy that integrates these elements into a systematic approach. By following a </w:t>
      </w:r>
      <w:r w:rsidR="003914B6">
        <w:t>straightforward</w:t>
      </w:r>
      <w:r>
        <w:t xml:space="preserve"> process, negotiators can effectively manage uncertainty, complexity, and competitive pressures to achieve win-win outcomes. The method includes four significant steps:</w:t>
      </w:r>
    </w:p>
    <w:p w14:paraId="7E98257D" w14:textId="77777777" w:rsidR="00944294" w:rsidRPr="00944294" w:rsidRDefault="00944294" w:rsidP="00944294">
      <w:pPr>
        <w:rPr>
          <w:b/>
          <w:bCs/>
        </w:rPr>
      </w:pPr>
      <w:r w:rsidRPr="00944294">
        <w:rPr>
          <w:b/>
          <w:bCs/>
        </w:rPr>
        <w:t>Step 1: Gather Insights and Preparation</w:t>
      </w:r>
    </w:p>
    <w:p w14:paraId="2DE3299E" w14:textId="7503DB26" w:rsidR="00944294" w:rsidRDefault="00944294" w:rsidP="00944294">
      <w:r>
        <w:t xml:space="preserve">Begin by acquiring critical intelligence about the business environment and the needs of all parties, focusing on long-term objectives. </w:t>
      </w:r>
      <w:r w:rsidR="003914B6">
        <w:t>Adequat</w:t>
      </w:r>
      <w:r>
        <w:t>e preparation involves researching market trends, competitor strategies, and regulatory frameworks. Tools like term sheets can help outline negotiation terms and gather vital data, ensuring negotiators enter discussions with confidence and clarity.</w:t>
      </w:r>
    </w:p>
    <w:p w14:paraId="7EC059F4" w14:textId="77777777" w:rsidR="00944294" w:rsidRDefault="00944294" w:rsidP="00944294">
      <w:r w:rsidRPr="00944294">
        <w:rPr>
          <w:b/>
          <w:bCs/>
        </w:rPr>
        <w:t>Example:</w:t>
      </w:r>
      <w:r>
        <w:t xml:space="preserve"> Before negotiating a partnership with a tech startup, a large technology firm might research the startup's market position, financial health, and technology capabilities. This preparation helps the firm understand what the startup needs and how best to structure a deal that benefits both parties.</w:t>
      </w:r>
    </w:p>
    <w:p w14:paraId="3447D163" w14:textId="77777777" w:rsidR="00944294" w:rsidRPr="00944294" w:rsidRDefault="00944294" w:rsidP="00944294">
      <w:pPr>
        <w:rPr>
          <w:b/>
          <w:bCs/>
        </w:rPr>
      </w:pPr>
      <w:r w:rsidRPr="00944294">
        <w:rPr>
          <w:b/>
          <w:bCs/>
        </w:rPr>
        <w:t>Step 2: Analyze Business Positions</w:t>
      </w:r>
    </w:p>
    <w:p w14:paraId="4238A499" w14:textId="77777777" w:rsidR="00944294" w:rsidRDefault="00944294" w:rsidP="00944294">
      <w:r>
        <w:t xml:space="preserve">Organize and analyze the gathered information to align business positions with organizational goals. Regularly update term sheets to reflect new insights and evolving dynamics. Techniques like SWOT </w:t>
      </w:r>
      <w:r>
        <w:lastRenderedPageBreak/>
        <w:t>analysis provide a comprehensive understanding of the competitive landscape and potential areas for collaboration, helping ensure that every decision contributes to long-term success.</w:t>
      </w:r>
    </w:p>
    <w:p w14:paraId="120F4F10" w14:textId="77777777" w:rsidR="00944294" w:rsidRDefault="00944294" w:rsidP="00944294">
      <w:r w:rsidRPr="00944294">
        <w:rPr>
          <w:b/>
          <w:bCs/>
        </w:rPr>
        <w:t>Example:</w:t>
      </w:r>
      <w:r>
        <w:t xml:space="preserve"> After gathering data on a potential supplier, a manufacturing company might use SWOT analysis to assess the supplier's strengths, weaknesses, opportunities, and threats. This analysis helps the company position its negotiation strategy to leverage the supplier's strengths and address weaknesses.</w:t>
      </w:r>
    </w:p>
    <w:p w14:paraId="7058C53E" w14:textId="77777777" w:rsidR="00944294" w:rsidRPr="00944294" w:rsidRDefault="00944294" w:rsidP="00944294">
      <w:pPr>
        <w:rPr>
          <w:b/>
          <w:bCs/>
        </w:rPr>
      </w:pPr>
      <w:r w:rsidRPr="00944294">
        <w:rPr>
          <w:b/>
          <w:bCs/>
        </w:rPr>
        <w:t>Step 3: Engage and Trade Information</w:t>
      </w:r>
    </w:p>
    <w:p w14:paraId="1893D0B7" w14:textId="77777777" w:rsidR="00944294" w:rsidRDefault="00944294" w:rsidP="00944294">
      <w:r>
        <w:t>Strategically engage with counterparts by understanding their perspectives and exchanging information. Utilize term sheets to navigate discussions and actively listen to articulate your interests while addressing the other party's needs. Identifying common ground and exploring creative solutions can foster a collaborative atmosphere. Address overlooked issues such as time constraints and regulatory changes, and involve experts as needed to mitigate risks.</w:t>
      </w:r>
    </w:p>
    <w:p w14:paraId="79BAB340" w14:textId="77777777" w:rsidR="00944294" w:rsidRDefault="00944294" w:rsidP="00944294">
      <w:r w:rsidRPr="00944294">
        <w:rPr>
          <w:b/>
          <w:bCs/>
        </w:rPr>
        <w:t>Example:</w:t>
      </w:r>
      <w:r>
        <w:t xml:space="preserve"> During joint venture negotiations, pharmaceutical and biotech firms might exchange detailed information about their R&amp;D capabilities and market strategies. By sharing this information and discussing regulatory challenges, they can identify common goals and craft a deal that aligns with both parties' needs.</w:t>
      </w:r>
    </w:p>
    <w:p w14:paraId="0A7B95FD" w14:textId="77777777" w:rsidR="00944294" w:rsidRPr="00944294" w:rsidRDefault="00944294" w:rsidP="00944294">
      <w:pPr>
        <w:rPr>
          <w:b/>
          <w:bCs/>
        </w:rPr>
      </w:pPr>
      <w:r w:rsidRPr="00944294">
        <w:rPr>
          <w:b/>
          <w:bCs/>
        </w:rPr>
        <w:t>Step 4: Make Informed Decisions</w:t>
      </w:r>
    </w:p>
    <w:p w14:paraId="4235C894" w14:textId="3682F858" w:rsidR="00944294" w:rsidRDefault="00944294" w:rsidP="00944294">
      <w:r>
        <w:t xml:space="preserve">Data analytics provides valuable insights into the impact of various options and enhances the decision-making process. However, the final decision rests with human judgment. Decision-makers should weigh the pros and cons of each option, ensuring that their choices align with their </w:t>
      </w:r>
      <w:r w:rsidR="009560DB">
        <w:t xml:space="preserve">risk tolerance </w:t>
      </w:r>
      <w:r>
        <w:t>and overall business strategies. It's vital that they feel comfortable and confident with their decisions to ensure effective execution and the realization of the desired value.</w:t>
      </w:r>
    </w:p>
    <w:p w14:paraId="2EB66CC8" w14:textId="245C9C0D" w:rsidR="002B620C" w:rsidRDefault="00944294" w:rsidP="00944294">
      <w:r w:rsidRPr="00944294">
        <w:rPr>
          <w:b/>
          <w:bCs/>
        </w:rPr>
        <w:lastRenderedPageBreak/>
        <w:t>Example:</w:t>
      </w:r>
      <w:r>
        <w:t xml:space="preserve"> In a merger negotiation, companies might evaluate different deal structures based on financial and strategic analyses. While data informs these evaluations, the final choice depends on the leadership's judgment regarding alignment with their long-term goals and risk preferences. This approach ensures the merger can be implemented successfully and achieves the intended outcomes.</w:t>
      </w:r>
      <w:r w:rsidR="002B620C">
        <w:rPr>
          <w:noProof/>
        </w:rPr>
        <w:drawing>
          <wp:inline distT="0" distB="0" distL="0" distR="0" wp14:anchorId="6F03005C" wp14:editId="6131AC67">
            <wp:extent cx="5486400" cy="3086100"/>
            <wp:effectExtent l="0" t="0" r="0" b="0"/>
            <wp:docPr id="1395039365"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93647" name="Picture 1" descr="A diagram of a business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bookmarkEnd w:id="49"/>
    <w:bookmarkEnd w:id="59"/>
    <w:p w14:paraId="371B02F5" w14:textId="77777777" w:rsidR="000770DF" w:rsidRDefault="000770DF" w:rsidP="000770DF">
      <w:pPr>
        <w:pStyle w:val="Subtitle"/>
      </w:pPr>
      <w:r>
        <w:br w:type="page"/>
      </w:r>
    </w:p>
    <w:p w14:paraId="07885150" w14:textId="77777777" w:rsidR="000770DF" w:rsidRDefault="000770DF" w:rsidP="000770DF">
      <w:pPr>
        <w:pStyle w:val="Subtitle"/>
      </w:pPr>
    </w:p>
    <w:p w14:paraId="1958F0F4" w14:textId="77777777" w:rsidR="000770DF" w:rsidRDefault="000770DF" w:rsidP="000770DF">
      <w:pPr>
        <w:pStyle w:val="Subtitle"/>
      </w:pPr>
    </w:p>
    <w:p w14:paraId="706BE285" w14:textId="77777777" w:rsidR="000770DF" w:rsidRDefault="000770DF" w:rsidP="000770DF">
      <w:pPr>
        <w:pStyle w:val="Subtitle"/>
      </w:pPr>
    </w:p>
    <w:p w14:paraId="5E9E2EA8" w14:textId="77777777" w:rsidR="000770DF" w:rsidRDefault="000770DF" w:rsidP="000770DF">
      <w:pPr>
        <w:pStyle w:val="Subtitle"/>
      </w:pPr>
    </w:p>
    <w:p w14:paraId="01AB8172" w14:textId="77777777" w:rsidR="000770DF" w:rsidRDefault="000770DF" w:rsidP="000770DF">
      <w:pPr>
        <w:pStyle w:val="Subtitle"/>
      </w:pPr>
    </w:p>
    <w:p w14:paraId="0D736F0F" w14:textId="77777777" w:rsidR="000770DF" w:rsidRDefault="000770DF" w:rsidP="000770DF">
      <w:pPr>
        <w:pStyle w:val="Subtitle"/>
      </w:pPr>
    </w:p>
    <w:p w14:paraId="5DB70474" w14:textId="77777777" w:rsidR="000770DF" w:rsidRDefault="000770DF" w:rsidP="000770DF">
      <w:pPr>
        <w:pStyle w:val="Subtitle"/>
      </w:pPr>
    </w:p>
    <w:p w14:paraId="22FA4650" w14:textId="77777777" w:rsidR="000770DF" w:rsidRDefault="000770DF" w:rsidP="000770DF">
      <w:pPr>
        <w:pStyle w:val="Subtitle"/>
      </w:pPr>
    </w:p>
    <w:p w14:paraId="426AB94C" w14:textId="33195FB8" w:rsidR="000770DF" w:rsidRDefault="000770DF" w:rsidP="000770DF">
      <w:pPr>
        <w:pStyle w:val="Title"/>
        <w:jc w:val="center"/>
      </w:pPr>
      <w:bookmarkStart w:id="62" w:name="_Toc191026933"/>
      <w:r>
        <w:t>Part I</w:t>
      </w:r>
      <w:r w:rsidR="00EA05C7">
        <w:t>I</w:t>
      </w:r>
      <w:r>
        <w:t xml:space="preserve">I </w:t>
      </w:r>
      <w:r w:rsidR="000250CB">
        <w:t>Tools</w:t>
      </w:r>
      <w:r w:rsidR="006425CB">
        <w:t xml:space="preserve"> for Uncertainty</w:t>
      </w:r>
      <w:r w:rsidR="000250CB">
        <w:t xml:space="preserve"> Analysis</w:t>
      </w:r>
      <w:bookmarkEnd w:id="62"/>
    </w:p>
    <w:p w14:paraId="079B57C8" w14:textId="77777777" w:rsidR="000770DF" w:rsidRDefault="000770DF">
      <w:pPr>
        <w:spacing w:before="0" w:after="160" w:line="259" w:lineRule="auto"/>
      </w:pPr>
      <w:r>
        <w:br w:type="page"/>
      </w:r>
    </w:p>
    <w:p w14:paraId="717DC261" w14:textId="532FA28F" w:rsidR="00D7153A" w:rsidRDefault="00D7153A" w:rsidP="00D7153A">
      <w:pPr>
        <w:pStyle w:val="Heading1"/>
      </w:pPr>
      <w:bookmarkStart w:id="63" w:name="_Toc191026934"/>
      <w:r>
        <w:lastRenderedPageBreak/>
        <w:t xml:space="preserve">Decision </w:t>
      </w:r>
      <w:r w:rsidR="00DB36BE">
        <w:t>T</w:t>
      </w:r>
      <w:r>
        <w:t>ree</w:t>
      </w:r>
      <w:r w:rsidR="00DB36BE">
        <w:t xml:space="preserve">s: </w:t>
      </w:r>
      <w:r>
        <w:t xml:space="preserve"> </w:t>
      </w:r>
      <w:r w:rsidR="00633666" w:rsidRPr="00633666">
        <w:t>Visual</w:t>
      </w:r>
      <w:r w:rsidR="00904A6B">
        <w:t>ize</w:t>
      </w:r>
      <w:r w:rsidR="00633666" w:rsidRPr="00633666">
        <w:t xml:space="preserve"> </w:t>
      </w:r>
      <w:r w:rsidR="0062011A">
        <w:t>Uncertainty</w:t>
      </w:r>
      <w:r w:rsidR="00633666" w:rsidRPr="00633666">
        <w:t xml:space="preserve"> </w:t>
      </w:r>
      <w:r w:rsidR="00904A6B">
        <w:t>For Decision-Making</w:t>
      </w:r>
      <w:bookmarkEnd w:id="63"/>
    </w:p>
    <w:p w14:paraId="2B222A93" w14:textId="77777777" w:rsidR="0062011A" w:rsidRDefault="0062011A" w:rsidP="0062011A">
      <w:r>
        <w:t>Making decisions under uncertainty is a challenge that affects every aspect of life, from personal choices to business strategies. Stephen Covey, the author of "The 7 Habits of Highly Effective People," once said, "If there's one thing that's certain in business, it's uncertainty." Indeed, running a business is about dealing with uncertainty and embracing the constant of change.</w:t>
      </w:r>
    </w:p>
    <w:p w14:paraId="75DA8BE5" w14:textId="0F64A590" w:rsidR="00DB36BE" w:rsidRDefault="0062011A" w:rsidP="0062011A">
      <w:r>
        <w:t>Uncertainty arises when the future holds multiple possible scenarios, each with consequences. While human judgment is crucial in navigating these uncertainties, the complexity of modern decision-making often requires analytical tools like decision trees to improve accuracy and confidence. By combining human intuition with decision trees, organizations can systematically evaluate potential outcomes and make informed choices, even when the future is unclear</w:t>
      </w:r>
      <w:r w:rsidR="00DB36BE" w:rsidRPr="00DB36BE">
        <w:t>.</w:t>
      </w:r>
    </w:p>
    <w:p w14:paraId="38AB2DB0" w14:textId="52382338" w:rsidR="00633666" w:rsidRDefault="00633666" w:rsidP="00E71E3C">
      <w:pPr>
        <w:pStyle w:val="Heading2"/>
      </w:pPr>
      <w:bookmarkStart w:id="64" w:name="_Toc191026935"/>
      <w:r>
        <w:t xml:space="preserve">Decision Trees </w:t>
      </w:r>
      <w:r w:rsidR="0062011A">
        <w:t>Introduction</w:t>
      </w:r>
      <w:bookmarkEnd w:id="64"/>
    </w:p>
    <w:p w14:paraId="24CEED69" w14:textId="77777777" w:rsidR="0062011A" w:rsidRDefault="0062011A" w:rsidP="0062011A">
      <w:r>
        <w:t>Consider a business considering investing in a new production asset amid uncertain future market conditions. These conditions could range from high consumer demand to an economic downturn, each scenario affecting the investment's success and profitability. Businesses often use scenario planning to explore different future states in such situations.</w:t>
      </w:r>
    </w:p>
    <w:p w14:paraId="473A7D1A" w14:textId="529B6524" w:rsidR="00E71E3C" w:rsidRDefault="0062011A" w:rsidP="0062011A">
      <w:r>
        <w:t>For example, an energy company might be considering building a new renewable energy plant with two technology options: one optimized for maximum diesel yield, minimizing production costs but making the company vulnerable to price fluctuations, and another offering production flexibility, allowing the company to hedge against market uncertainty by producing alternative fuels like marine and jet fuels. The company must assess multiple market scenarios to determine which option offers the most significant benefits</w:t>
      </w:r>
      <w:r w:rsidR="00E71E3C">
        <w:t>.</w:t>
      </w:r>
    </w:p>
    <w:p w14:paraId="0E4C897E" w14:textId="75F85B9C" w:rsidR="00633666" w:rsidRDefault="00633666" w:rsidP="00633666">
      <w:pPr>
        <w:pStyle w:val="Heading2"/>
      </w:pPr>
      <w:bookmarkStart w:id="65" w:name="_Toc191026936"/>
      <w:r>
        <w:lastRenderedPageBreak/>
        <w:t>Understand Expected Value in Uncertainty Evaluation</w:t>
      </w:r>
      <w:bookmarkEnd w:id="65"/>
    </w:p>
    <w:p w14:paraId="191E5115" w14:textId="53DCBFF7" w:rsidR="00E71E3C" w:rsidRDefault="0062011A" w:rsidP="00633666">
      <w:r w:rsidRPr="0062011A">
        <w:t>Expected value (EV) is a fundamental approach to making decisions when outcomes are uncertain. EV helps quantify potential outcomes by weighing them according to their probabilities, offering a holistic perspective</w:t>
      </w:r>
      <w:r w:rsidR="00E71E3C" w:rsidRPr="00E71E3C">
        <w:t>.</w:t>
      </w:r>
    </w:p>
    <w:p w14:paraId="0611FFFB" w14:textId="2AB8E1E6" w:rsidR="00D7153A" w:rsidRDefault="00D7153A" w:rsidP="00D7153A">
      <w:pPr>
        <w:pStyle w:val="Heading3"/>
      </w:pPr>
      <w:r>
        <w:t xml:space="preserve">What is </w:t>
      </w:r>
      <w:r w:rsidR="0062011A">
        <w:t xml:space="preserve">the </w:t>
      </w:r>
      <w:r>
        <w:t>Expected Value?</w:t>
      </w:r>
    </w:p>
    <w:p w14:paraId="424FB077" w14:textId="5CFD010E" w:rsidR="00D7153A" w:rsidRDefault="0062011A" w:rsidP="00D7153A">
      <w:r w:rsidRPr="0062011A">
        <w:t>The expected value is the average of all possible outcomes, weighted by their probabilities. It is determined by multiplying each potential outcome's value by its probability and summing these products</w:t>
      </w:r>
      <w:r w:rsidR="00D7153A">
        <w:t>:</w:t>
      </w:r>
    </w:p>
    <w:p w14:paraId="06319149" w14:textId="77777777" w:rsidR="00D7153A" w:rsidRPr="00662D61" w:rsidRDefault="00D7153A" w:rsidP="00D7153A">
      <w:pPr>
        <w:rPr>
          <w:rFonts w:eastAsiaTheme="minorEastAsia"/>
        </w:rPr>
      </w:pPr>
      <m:oMathPara>
        <m:oMathParaPr>
          <m:jc m:val="left"/>
        </m:oMathParaPr>
        <m:oMath>
          <m:r>
            <w:rPr>
              <w:rFonts w:ascii="Cambria Math" w:hAnsi="Cambria Math"/>
            </w:rPr>
            <m:t>EV=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nary>
        </m:oMath>
      </m:oMathPara>
    </w:p>
    <w:p w14:paraId="369F5F02" w14:textId="77777777" w:rsidR="00D7153A" w:rsidRPr="00C83641" w:rsidRDefault="00D7153A" w:rsidP="00D7153A">
      <w:r w:rsidRPr="00C83641">
        <w:t>EV is the expected value of all possible outcomes.</w:t>
      </w:r>
    </w:p>
    <w:p w14:paraId="1B0CA021" w14:textId="77777777" w:rsidR="00D7153A" w:rsidRPr="005570B5" w:rsidRDefault="00D7153A" w:rsidP="00D7153A">
      <w:r w:rsidRPr="00C83641">
        <w:rPr>
          <w:rFonts w:ascii="Cambria Math" w:hAnsi="Cambria Math" w:cs="Cambria Math"/>
        </w:rPr>
        <w:t>𝑉</w:t>
      </w:r>
      <w:proofErr w:type="spellStart"/>
      <w:r>
        <w:rPr>
          <w:rFonts w:ascii="Cambria Math" w:hAnsi="Cambria Math" w:cs="Cambria Math"/>
          <w:i/>
          <w:vertAlign w:val="subscript"/>
        </w:rPr>
        <w:t>i</w:t>
      </w:r>
      <w:proofErr w:type="spellEnd"/>
      <w:r w:rsidRPr="005570B5">
        <w:t xml:space="preserve"> is the value of a possible outcome.</w:t>
      </w:r>
    </w:p>
    <w:p w14:paraId="4E67C1A4" w14:textId="77777777" w:rsidR="00D7153A" w:rsidRPr="005570B5" w:rsidRDefault="00D7153A" w:rsidP="00D7153A">
      <w:r w:rsidRPr="00C83641">
        <w:rPr>
          <w:rFonts w:ascii="Cambria Math" w:hAnsi="Cambria Math" w:cs="Cambria Math"/>
        </w:rPr>
        <w:t>𝑃</w:t>
      </w:r>
      <w:proofErr w:type="spellStart"/>
      <w:r>
        <w:rPr>
          <w:rFonts w:ascii="Cambria Math" w:hAnsi="Cambria Math" w:cs="Cambria Math"/>
          <w:i/>
          <w:vertAlign w:val="subscript"/>
        </w:rPr>
        <w:t>i</w:t>
      </w:r>
      <w:proofErr w:type="spellEnd"/>
      <w:r>
        <w:rPr>
          <w:rFonts w:ascii="Cambria Math" w:hAnsi="Cambria Math" w:cs="Cambria Math"/>
          <w:i/>
          <w:vertAlign w:val="subscript"/>
        </w:rPr>
        <w:t xml:space="preserve"> </w:t>
      </w:r>
      <w:r>
        <w:rPr>
          <w:i/>
        </w:rPr>
        <w:t xml:space="preserve"> </w:t>
      </w:r>
      <w:r w:rsidRPr="005570B5">
        <w:t>is the probability of a possible outcome.</w:t>
      </w:r>
    </w:p>
    <w:p w14:paraId="7D7C9E7F" w14:textId="77777777" w:rsidR="00D7153A" w:rsidRPr="005570B5" w:rsidRDefault="00D7153A" w:rsidP="00D7153A">
      <w:r w:rsidRPr="00C83641">
        <w:rPr>
          <w:rFonts w:ascii="Cambria Math" w:hAnsi="Cambria Math" w:cs="Cambria Math"/>
        </w:rPr>
        <w:t>𝑖</w:t>
      </w:r>
      <w:r>
        <w:rPr>
          <w:i/>
        </w:rPr>
        <w:t xml:space="preserve"> </w:t>
      </w:r>
      <w:r w:rsidRPr="005570B5">
        <w:t>represents an outcome scenario.</w:t>
      </w:r>
    </w:p>
    <w:p w14:paraId="30D959E3" w14:textId="77777777" w:rsidR="00D7153A" w:rsidRDefault="00D7153A" w:rsidP="00D7153A">
      <w:r w:rsidRPr="00C83641">
        <w:rPr>
          <w:rFonts w:ascii="Cambria Math" w:hAnsi="Cambria Math" w:cs="Cambria Math"/>
        </w:rPr>
        <w:t>𝑛</w:t>
      </w:r>
      <w:r w:rsidRPr="005570B5">
        <w:t xml:space="preserve"> is the total number of outcome scenarios.</w:t>
      </w:r>
    </w:p>
    <w:p w14:paraId="3D0121FA" w14:textId="77777777" w:rsidR="00DB36BE" w:rsidRDefault="00DB36BE" w:rsidP="00D7153A">
      <w:pPr>
        <w:rPr>
          <w:i/>
        </w:rPr>
      </w:pPr>
    </w:p>
    <w:p w14:paraId="1D5A14BC" w14:textId="77777777" w:rsidR="00D7153A" w:rsidRPr="005570B5" w:rsidRDefault="00D7153A" w:rsidP="0062011A">
      <w:pPr>
        <w:pStyle w:val="Heading3"/>
        <w:rPr>
          <w:rFonts w:asciiTheme="minorHAnsi" w:eastAsiaTheme="minorEastAsia" w:hAnsiTheme="minorHAnsi" w:cstheme="minorBidi"/>
          <w:color w:val="auto"/>
          <w:sz w:val="22"/>
          <w:szCs w:val="22"/>
        </w:rPr>
      </w:pPr>
      <w:r>
        <w:t>Example: Expected Value for the Renewable Energy Project</w:t>
      </w:r>
    </w:p>
    <w:p w14:paraId="2C82D261" w14:textId="5B5F59C5" w:rsidR="007209B6" w:rsidRDefault="0062011A" w:rsidP="00D7153A">
      <w:r w:rsidRPr="0062011A">
        <w:t>Suppose the energy company identifies five market scenarios, each with an estimated probability and financial impact</w:t>
      </w:r>
      <w:r w:rsidR="007209B6" w:rsidRPr="007209B6">
        <w:t>:</w:t>
      </w:r>
    </w:p>
    <w:p w14:paraId="4647F53C" w14:textId="77777777" w:rsidR="007209B6" w:rsidRDefault="007209B6" w:rsidP="00D7153A"/>
    <w:p w14:paraId="320554D4" w14:textId="2DFD32EE" w:rsidR="00D7153A" w:rsidRDefault="00D7153A" w:rsidP="00D7153A">
      <w:r>
        <w:t xml:space="preserve"> </w:t>
      </w:r>
    </w:p>
    <w:tbl>
      <w:tblPr>
        <w:tblW w:w="8561" w:type="dxa"/>
        <w:jc w:val="center"/>
        <w:tblLook w:val="04A0" w:firstRow="1" w:lastRow="0" w:firstColumn="1" w:lastColumn="0" w:noHBand="0" w:noVBand="1"/>
      </w:tblPr>
      <w:tblGrid>
        <w:gridCol w:w="2448"/>
        <w:gridCol w:w="1217"/>
        <w:gridCol w:w="2448"/>
        <w:gridCol w:w="2448"/>
      </w:tblGrid>
      <w:tr w:rsidR="00D7153A" w:rsidRPr="00103D33" w14:paraId="731E9AF6" w14:textId="77777777" w:rsidTr="004E534D">
        <w:trPr>
          <w:trHeight w:val="432"/>
          <w:jc w:val="center"/>
        </w:trPr>
        <w:tc>
          <w:tcPr>
            <w:tcW w:w="2448" w:type="dxa"/>
            <w:vMerge w:val="restart"/>
            <w:tcBorders>
              <w:top w:val="nil"/>
              <w:left w:val="nil"/>
              <w:bottom w:val="nil"/>
              <w:right w:val="nil"/>
            </w:tcBorders>
            <w:shd w:val="clear" w:color="000000" w:fill="0F9ED5"/>
            <w:noWrap/>
            <w:vAlign w:val="center"/>
            <w:hideMark/>
          </w:tcPr>
          <w:p w14:paraId="11941A64" w14:textId="77777777" w:rsidR="00D7153A" w:rsidRPr="00103D33" w:rsidRDefault="00D7153A" w:rsidP="004E534D">
            <w:pPr>
              <w:spacing w:before="0" w:after="0" w:line="240" w:lineRule="auto"/>
              <w:rPr>
                <w:rFonts w:ascii="Calibri" w:eastAsia="Times New Roman" w:hAnsi="Calibri" w:cs="Calibri"/>
                <w:b/>
                <w:bCs/>
                <w:color w:val="FFFFFF"/>
                <w:kern w:val="0"/>
                <w14:ligatures w14:val="none"/>
              </w:rPr>
            </w:pPr>
            <w:r w:rsidRPr="00103D33">
              <w:rPr>
                <w:rFonts w:ascii="Calibri" w:eastAsia="Times New Roman" w:hAnsi="Calibri" w:cs="Calibri"/>
                <w:b/>
                <w:bCs/>
                <w:color w:val="FFFFFF"/>
                <w:kern w:val="0"/>
                <w14:ligatures w14:val="none"/>
              </w:rPr>
              <w:lastRenderedPageBreak/>
              <w:t>Market Condition</w:t>
            </w:r>
          </w:p>
        </w:tc>
        <w:tc>
          <w:tcPr>
            <w:tcW w:w="1217" w:type="dxa"/>
            <w:vMerge w:val="restart"/>
            <w:tcBorders>
              <w:top w:val="nil"/>
              <w:left w:val="nil"/>
              <w:bottom w:val="single" w:sz="12" w:space="0" w:color="FFFFFF"/>
              <w:right w:val="nil"/>
            </w:tcBorders>
            <w:shd w:val="clear" w:color="000000" w:fill="0F9ED5"/>
            <w:vAlign w:val="center"/>
            <w:hideMark/>
          </w:tcPr>
          <w:p w14:paraId="79C52BD7" w14:textId="77777777" w:rsidR="00D7153A" w:rsidRPr="00103D33" w:rsidRDefault="00D7153A" w:rsidP="004E534D">
            <w:pPr>
              <w:spacing w:before="0" w:after="0" w:line="240" w:lineRule="auto"/>
              <w:jc w:val="center"/>
              <w:rPr>
                <w:rFonts w:ascii="Calibri" w:eastAsia="Times New Roman" w:hAnsi="Calibri" w:cs="Calibri"/>
                <w:b/>
                <w:bCs/>
                <w:color w:val="FFFFFF"/>
                <w:kern w:val="0"/>
                <w14:ligatures w14:val="none"/>
              </w:rPr>
            </w:pPr>
            <w:r w:rsidRPr="00103D33">
              <w:rPr>
                <w:rFonts w:ascii="Calibri" w:eastAsia="Times New Roman" w:hAnsi="Calibri" w:cs="Calibri"/>
                <w:b/>
                <w:bCs/>
                <w:color w:val="FFFFFF"/>
                <w:kern w:val="0"/>
                <w14:ligatures w14:val="none"/>
              </w:rPr>
              <w:t>Probability</w:t>
            </w:r>
          </w:p>
        </w:tc>
        <w:tc>
          <w:tcPr>
            <w:tcW w:w="4896" w:type="dxa"/>
            <w:gridSpan w:val="2"/>
            <w:tcBorders>
              <w:top w:val="nil"/>
              <w:left w:val="nil"/>
              <w:bottom w:val="single" w:sz="4" w:space="0" w:color="auto"/>
              <w:right w:val="nil"/>
            </w:tcBorders>
            <w:shd w:val="clear" w:color="000000" w:fill="0F9ED5"/>
            <w:vAlign w:val="center"/>
            <w:hideMark/>
          </w:tcPr>
          <w:p w14:paraId="1C2FDC2E" w14:textId="77777777" w:rsidR="00D7153A" w:rsidRPr="00103D33" w:rsidRDefault="00D7153A" w:rsidP="004E534D">
            <w:pPr>
              <w:spacing w:before="0" w:after="0" w:line="240" w:lineRule="auto"/>
              <w:jc w:val="center"/>
              <w:rPr>
                <w:rFonts w:ascii="Calibri" w:eastAsia="Times New Roman" w:hAnsi="Calibri" w:cs="Calibri"/>
                <w:b/>
                <w:bCs/>
                <w:color w:val="FFFFFF"/>
                <w:kern w:val="0"/>
                <w14:ligatures w14:val="none"/>
              </w:rPr>
            </w:pPr>
            <w:r w:rsidRPr="00103D33">
              <w:rPr>
                <w:rFonts w:ascii="Calibri" w:eastAsia="Times New Roman" w:hAnsi="Calibri" w:cs="Calibri"/>
                <w:b/>
                <w:bCs/>
                <w:color w:val="FFFFFF"/>
                <w:kern w:val="0"/>
                <w14:ligatures w14:val="none"/>
              </w:rPr>
              <w:t xml:space="preserve"> Financial Impact ($ millions)</w:t>
            </w:r>
          </w:p>
        </w:tc>
      </w:tr>
      <w:tr w:rsidR="00D7153A" w:rsidRPr="00103D33" w14:paraId="509E134C" w14:textId="77777777" w:rsidTr="004E534D">
        <w:trPr>
          <w:trHeight w:val="432"/>
          <w:jc w:val="center"/>
        </w:trPr>
        <w:tc>
          <w:tcPr>
            <w:tcW w:w="2448" w:type="dxa"/>
            <w:vMerge/>
            <w:tcBorders>
              <w:top w:val="nil"/>
              <w:left w:val="nil"/>
              <w:bottom w:val="nil"/>
              <w:right w:val="nil"/>
            </w:tcBorders>
            <w:vAlign w:val="center"/>
            <w:hideMark/>
          </w:tcPr>
          <w:p w14:paraId="782BCFCB" w14:textId="77777777" w:rsidR="00D7153A" w:rsidRPr="00103D33" w:rsidRDefault="00D7153A" w:rsidP="004E534D">
            <w:pPr>
              <w:spacing w:before="0" w:after="0" w:line="240" w:lineRule="auto"/>
              <w:rPr>
                <w:rFonts w:ascii="Calibri" w:eastAsia="Times New Roman" w:hAnsi="Calibri" w:cs="Calibri"/>
                <w:b/>
                <w:bCs/>
                <w:color w:val="FFFFFF"/>
                <w:kern w:val="0"/>
                <w14:ligatures w14:val="none"/>
              </w:rPr>
            </w:pPr>
          </w:p>
        </w:tc>
        <w:tc>
          <w:tcPr>
            <w:tcW w:w="1217" w:type="dxa"/>
            <w:vMerge/>
            <w:tcBorders>
              <w:top w:val="nil"/>
              <w:left w:val="nil"/>
              <w:bottom w:val="single" w:sz="12" w:space="0" w:color="FFFFFF"/>
              <w:right w:val="nil"/>
            </w:tcBorders>
            <w:vAlign w:val="center"/>
            <w:hideMark/>
          </w:tcPr>
          <w:p w14:paraId="43CF8579" w14:textId="77777777" w:rsidR="00D7153A" w:rsidRPr="00103D33" w:rsidRDefault="00D7153A" w:rsidP="004E534D">
            <w:pPr>
              <w:spacing w:before="0" w:after="0" w:line="240" w:lineRule="auto"/>
              <w:rPr>
                <w:rFonts w:ascii="Calibri" w:eastAsia="Times New Roman" w:hAnsi="Calibri" w:cs="Calibri"/>
                <w:b/>
                <w:bCs/>
                <w:color w:val="FFFFFF"/>
                <w:kern w:val="0"/>
                <w14:ligatures w14:val="none"/>
              </w:rPr>
            </w:pPr>
          </w:p>
        </w:tc>
        <w:tc>
          <w:tcPr>
            <w:tcW w:w="2448" w:type="dxa"/>
            <w:tcBorders>
              <w:top w:val="nil"/>
              <w:left w:val="nil"/>
              <w:bottom w:val="nil"/>
              <w:right w:val="nil"/>
            </w:tcBorders>
            <w:shd w:val="clear" w:color="000000" w:fill="0F9ED5"/>
            <w:noWrap/>
            <w:vAlign w:val="center"/>
            <w:hideMark/>
          </w:tcPr>
          <w:p w14:paraId="0B404E00" w14:textId="5C9A5CC6" w:rsidR="00D7153A" w:rsidRPr="00103D33" w:rsidRDefault="00D7153A" w:rsidP="004E534D">
            <w:pPr>
              <w:spacing w:before="0" w:after="0" w:line="240" w:lineRule="auto"/>
              <w:jc w:val="center"/>
              <w:rPr>
                <w:rFonts w:ascii="Calibri" w:eastAsia="Times New Roman" w:hAnsi="Calibri" w:cs="Calibri"/>
                <w:b/>
                <w:bCs/>
                <w:color w:val="FFFFFF"/>
                <w:kern w:val="0"/>
                <w14:ligatures w14:val="none"/>
              </w:rPr>
            </w:pPr>
            <w:r w:rsidRPr="00103D33">
              <w:rPr>
                <w:rFonts w:ascii="Calibri" w:eastAsia="Times New Roman" w:hAnsi="Calibri" w:cs="Calibri"/>
                <w:b/>
                <w:bCs/>
                <w:color w:val="FFFFFF"/>
                <w:kern w:val="0"/>
                <w14:ligatures w14:val="none"/>
              </w:rPr>
              <w:t xml:space="preserve">Option </w:t>
            </w:r>
            <w:r w:rsidR="00985F0F" w:rsidRPr="00103D33">
              <w:rPr>
                <w:rFonts w:ascii="Calibri" w:eastAsia="Times New Roman" w:hAnsi="Calibri" w:cs="Calibri"/>
                <w:b/>
                <w:bCs/>
                <w:color w:val="FFFFFF"/>
                <w:kern w:val="0"/>
                <w14:ligatures w14:val="none"/>
              </w:rPr>
              <w:t>one</w:t>
            </w:r>
          </w:p>
        </w:tc>
        <w:tc>
          <w:tcPr>
            <w:tcW w:w="2448" w:type="dxa"/>
            <w:tcBorders>
              <w:top w:val="nil"/>
              <w:left w:val="nil"/>
              <w:bottom w:val="nil"/>
              <w:right w:val="nil"/>
            </w:tcBorders>
            <w:shd w:val="clear" w:color="000000" w:fill="0F9ED5"/>
            <w:noWrap/>
            <w:vAlign w:val="center"/>
            <w:hideMark/>
          </w:tcPr>
          <w:p w14:paraId="3CFCFDB6" w14:textId="67182304" w:rsidR="00D7153A" w:rsidRPr="00103D33" w:rsidRDefault="00D7153A" w:rsidP="004E534D">
            <w:pPr>
              <w:spacing w:before="0" w:after="0" w:line="240" w:lineRule="auto"/>
              <w:jc w:val="center"/>
              <w:rPr>
                <w:rFonts w:ascii="Calibri" w:eastAsia="Times New Roman" w:hAnsi="Calibri" w:cs="Calibri"/>
                <w:b/>
                <w:bCs/>
                <w:color w:val="FFFFFF"/>
                <w:kern w:val="0"/>
                <w14:ligatures w14:val="none"/>
              </w:rPr>
            </w:pPr>
            <w:r w:rsidRPr="00103D33">
              <w:rPr>
                <w:rFonts w:ascii="Calibri" w:eastAsia="Times New Roman" w:hAnsi="Calibri" w:cs="Calibri"/>
                <w:b/>
                <w:bCs/>
                <w:color w:val="FFFFFF"/>
                <w:kern w:val="0"/>
                <w14:ligatures w14:val="none"/>
              </w:rPr>
              <w:t xml:space="preserve">Option </w:t>
            </w:r>
            <w:r w:rsidR="00985F0F" w:rsidRPr="00103D33">
              <w:rPr>
                <w:rFonts w:ascii="Calibri" w:eastAsia="Times New Roman" w:hAnsi="Calibri" w:cs="Calibri"/>
                <w:b/>
                <w:bCs/>
                <w:color w:val="FFFFFF"/>
                <w:kern w:val="0"/>
                <w14:ligatures w14:val="none"/>
              </w:rPr>
              <w:t>two</w:t>
            </w:r>
          </w:p>
        </w:tc>
      </w:tr>
      <w:tr w:rsidR="00D7153A" w:rsidRPr="00103D33" w14:paraId="60E43CE8" w14:textId="77777777" w:rsidTr="004E534D">
        <w:trPr>
          <w:trHeight w:val="432"/>
          <w:jc w:val="center"/>
        </w:trPr>
        <w:tc>
          <w:tcPr>
            <w:tcW w:w="2448" w:type="dxa"/>
            <w:tcBorders>
              <w:top w:val="single" w:sz="12" w:space="0" w:color="FFFFFF"/>
              <w:left w:val="single" w:sz="8" w:space="0" w:color="FFFFFF"/>
              <w:bottom w:val="single" w:sz="8" w:space="0" w:color="FFFFFF"/>
              <w:right w:val="single" w:sz="8" w:space="0" w:color="FFFFFF"/>
            </w:tcBorders>
            <w:shd w:val="clear" w:color="000000" w:fill="FFFFFF"/>
            <w:vAlign w:val="center"/>
            <w:hideMark/>
          </w:tcPr>
          <w:p w14:paraId="5B571ED4"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High Demand</w:t>
            </w:r>
          </w:p>
        </w:tc>
        <w:tc>
          <w:tcPr>
            <w:tcW w:w="1217" w:type="dxa"/>
            <w:tcBorders>
              <w:top w:val="nil"/>
              <w:left w:val="nil"/>
              <w:bottom w:val="single" w:sz="8" w:space="0" w:color="FFFFFF"/>
              <w:right w:val="single" w:sz="8" w:space="0" w:color="FFFFFF"/>
            </w:tcBorders>
            <w:shd w:val="clear" w:color="000000" w:fill="FFFFFF"/>
            <w:vAlign w:val="center"/>
            <w:hideMark/>
          </w:tcPr>
          <w:p w14:paraId="38468B26"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10%</w:t>
            </w:r>
          </w:p>
        </w:tc>
        <w:tc>
          <w:tcPr>
            <w:tcW w:w="2448" w:type="dxa"/>
            <w:tcBorders>
              <w:top w:val="single" w:sz="8" w:space="0" w:color="FFFFFF"/>
              <w:left w:val="nil"/>
              <w:bottom w:val="single" w:sz="8" w:space="0" w:color="FFFFFF"/>
              <w:right w:val="single" w:sz="8" w:space="0" w:color="FFFFFF"/>
            </w:tcBorders>
            <w:shd w:val="clear" w:color="000000" w:fill="FFFFFF"/>
            <w:vAlign w:val="center"/>
            <w:hideMark/>
          </w:tcPr>
          <w:p w14:paraId="05550C5F"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$40.0</w:t>
            </w:r>
          </w:p>
        </w:tc>
        <w:tc>
          <w:tcPr>
            <w:tcW w:w="2448" w:type="dxa"/>
            <w:tcBorders>
              <w:top w:val="single" w:sz="8" w:space="0" w:color="FFFFFF"/>
              <w:left w:val="nil"/>
              <w:bottom w:val="single" w:sz="8" w:space="0" w:color="FFFFFF"/>
              <w:right w:val="single" w:sz="8" w:space="0" w:color="FFFFFF"/>
            </w:tcBorders>
            <w:shd w:val="clear" w:color="000000" w:fill="FFFFFF"/>
            <w:vAlign w:val="center"/>
            <w:hideMark/>
          </w:tcPr>
          <w:p w14:paraId="2AC84AA4" w14:textId="5ABC014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$3</w:t>
            </w:r>
            <w:r w:rsidR="009F2A29">
              <w:rPr>
                <w:rFonts w:ascii="Calibri" w:eastAsia="Times New Roman" w:hAnsi="Calibri" w:cs="Calibri"/>
                <w:color w:val="000000"/>
                <w:kern w:val="0"/>
                <w14:ligatures w14:val="none"/>
              </w:rPr>
              <w:t>5</w:t>
            </w:r>
            <w:r w:rsidRPr="00103D33">
              <w:rPr>
                <w:rFonts w:ascii="Calibri" w:eastAsia="Times New Roman" w:hAnsi="Calibri" w:cs="Calibri"/>
                <w:color w:val="000000"/>
                <w:kern w:val="0"/>
                <w14:ligatures w14:val="none"/>
              </w:rPr>
              <w:t xml:space="preserve">.0 </w:t>
            </w:r>
          </w:p>
        </w:tc>
      </w:tr>
      <w:tr w:rsidR="00D7153A" w:rsidRPr="00103D33" w14:paraId="061B812D" w14:textId="77777777" w:rsidTr="004E534D">
        <w:trPr>
          <w:trHeight w:val="432"/>
          <w:jc w:val="center"/>
        </w:trPr>
        <w:tc>
          <w:tcPr>
            <w:tcW w:w="2448" w:type="dxa"/>
            <w:tcBorders>
              <w:top w:val="nil"/>
              <w:left w:val="single" w:sz="8" w:space="0" w:color="FFFFFF"/>
              <w:bottom w:val="single" w:sz="8" w:space="0" w:color="FFFFFF"/>
              <w:right w:val="single" w:sz="8" w:space="0" w:color="FFFFFF"/>
            </w:tcBorders>
            <w:shd w:val="clear" w:color="000000" w:fill="CAEDFB"/>
            <w:vAlign w:val="center"/>
            <w:hideMark/>
          </w:tcPr>
          <w:p w14:paraId="2F018D7D"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Moderate Demand</w:t>
            </w:r>
          </w:p>
        </w:tc>
        <w:tc>
          <w:tcPr>
            <w:tcW w:w="1217" w:type="dxa"/>
            <w:tcBorders>
              <w:top w:val="nil"/>
              <w:left w:val="nil"/>
              <w:bottom w:val="single" w:sz="8" w:space="0" w:color="FFFFFF"/>
              <w:right w:val="single" w:sz="8" w:space="0" w:color="FFFFFF"/>
            </w:tcBorders>
            <w:shd w:val="clear" w:color="000000" w:fill="CAEDFB"/>
            <w:vAlign w:val="center"/>
            <w:hideMark/>
          </w:tcPr>
          <w:p w14:paraId="699DBBE4"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25%</w:t>
            </w:r>
          </w:p>
        </w:tc>
        <w:tc>
          <w:tcPr>
            <w:tcW w:w="2448" w:type="dxa"/>
            <w:tcBorders>
              <w:top w:val="nil"/>
              <w:left w:val="nil"/>
              <w:bottom w:val="single" w:sz="8" w:space="0" w:color="FFFFFF"/>
              <w:right w:val="single" w:sz="8" w:space="0" w:color="FFFFFF"/>
            </w:tcBorders>
            <w:shd w:val="clear" w:color="000000" w:fill="CAEDFB"/>
            <w:vAlign w:val="center"/>
            <w:hideMark/>
          </w:tcPr>
          <w:p w14:paraId="633DFE9B"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$30.0</w:t>
            </w:r>
          </w:p>
        </w:tc>
        <w:tc>
          <w:tcPr>
            <w:tcW w:w="2448" w:type="dxa"/>
            <w:tcBorders>
              <w:top w:val="nil"/>
              <w:left w:val="nil"/>
              <w:bottom w:val="single" w:sz="8" w:space="0" w:color="FFFFFF"/>
              <w:right w:val="single" w:sz="8" w:space="0" w:color="FFFFFF"/>
            </w:tcBorders>
            <w:shd w:val="clear" w:color="000000" w:fill="CAEDFB"/>
            <w:vAlign w:val="center"/>
            <w:hideMark/>
          </w:tcPr>
          <w:p w14:paraId="5C5D65E9" w14:textId="3C19020C"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$2</w:t>
            </w:r>
            <w:r w:rsidR="009F2A29">
              <w:rPr>
                <w:rFonts w:ascii="Calibri" w:eastAsia="Times New Roman" w:hAnsi="Calibri" w:cs="Calibri"/>
                <w:color w:val="000000"/>
                <w:kern w:val="0"/>
                <w14:ligatures w14:val="none"/>
              </w:rPr>
              <w:t>5</w:t>
            </w:r>
            <w:r w:rsidRPr="00103D33">
              <w:rPr>
                <w:rFonts w:ascii="Calibri" w:eastAsia="Times New Roman" w:hAnsi="Calibri" w:cs="Calibri"/>
                <w:color w:val="000000"/>
                <w:kern w:val="0"/>
                <w14:ligatures w14:val="none"/>
              </w:rPr>
              <w:t xml:space="preserve">.0 </w:t>
            </w:r>
          </w:p>
        </w:tc>
      </w:tr>
      <w:tr w:rsidR="00D7153A" w:rsidRPr="00103D33" w14:paraId="23A78E35" w14:textId="77777777" w:rsidTr="004E534D">
        <w:trPr>
          <w:trHeight w:val="432"/>
          <w:jc w:val="center"/>
        </w:trPr>
        <w:tc>
          <w:tcPr>
            <w:tcW w:w="2448" w:type="dxa"/>
            <w:tcBorders>
              <w:top w:val="single" w:sz="12" w:space="0" w:color="FFFFFF"/>
              <w:left w:val="single" w:sz="8" w:space="0" w:color="FFFFFF"/>
              <w:bottom w:val="single" w:sz="8" w:space="0" w:color="FFFFFF"/>
              <w:right w:val="single" w:sz="8" w:space="0" w:color="FFFFFF"/>
            </w:tcBorders>
            <w:shd w:val="clear" w:color="000000" w:fill="FFFFFF"/>
            <w:vAlign w:val="center"/>
            <w:hideMark/>
          </w:tcPr>
          <w:p w14:paraId="6837538B"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Low Demand</w:t>
            </w:r>
          </w:p>
        </w:tc>
        <w:tc>
          <w:tcPr>
            <w:tcW w:w="1217" w:type="dxa"/>
            <w:tcBorders>
              <w:top w:val="single" w:sz="12" w:space="0" w:color="FFFFFF"/>
              <w:left w:val="nil"/>
              <w:bottom w:val="single" w:sz="8" w:space="0" w:color="FFFFFF"/>
              <w:right w:val="single" w:sz="8" w:space="0" w:color="FFFFFF"/>
            </w:tcBorders>
            <w:shd w:val="clear" w:color="000000" w:fill="FFFFFF"/>
            <w:vAlign w:val="center"/>
            <w:hideMark/>
          </w:tcPr>
          <w:p w14:paraId="2D8CDE2E"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10%</w:t>
            </w:r>
          </w:p>
        </w:tc>
        <w:tc>
          <w:tcPr>
            <w:tcW w:w="2448" w:type="dxa"/>
            <w:tcBorders>
              <w:top w:val="nil"/>
              <w:left w:val="nil"/>
              <w:bottom w:val="single" w:sz="8" w:space="0" w:color="FFFFFF"/>
              <w:right w:val="single" w:sz="8" w:space="0" w:color="FFFFFF"/>
            </w:tcBorders>
            <w:shd w:val="clear" w:color="000000" w:fill="FFFFFF"/>
            <w:vAlign w:val="center"/>
            <w:hideMark/>
          </w:tcPr>
          <w:p w14:paraId="103446A8"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 xml:space="preserve">$20.0 </w:t>
            </w:r>
          </w:p>
        </w:tc>
        <w:tc>
          <w:tcPr>
            <w:tcW w:w="2448" w:type="dxa"/>
            <w:tcBorders>
              <w:top w:val="nil"/>
              <w:left w:val="nil"/>
              <w:bottom w:val="single" w:sz="8" w:space="0" w:color="FFFFFF"/>
              <w:right w:val="single" w:sz="8" w:space="0" w:color="FFFFFF"/>
            </w:tcBorders>
            <w:shd w:val="clear" w:color="000000" w:fill="FFFFFF"/>
            <w:vAlign w:val="center"/>
            <w:hideMark/>
          </w:tcPr>
          <w:p w14:paraId="40875A7F"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 xml:space="preserve">$16.0 </w:t>
            </w:r>
          </w:p>
        </w:tc>
      </w:tr>
      <w:tr w:rsidR="00D7153A" w:rsidRPr="00103D33" w14:paraId="37556BA8" w14:textId="77777777" w:rsidTr="004E534D">
        <w:trPr>
          <w:trHeight w:val="432"/>
          <w:jc w:val="center"/>
        </w:trPr>
        <w:tc>
          <w:tcPr>
            <w:tcW w:w="2448" w:type="dxa"/>
            <w:tcBorders>
              <w:top w:val="nil"/>
              <w:left w:val="single" w:sz="8" w:space="0" w:color="FFFFFF"/>
              <w:bottom w:val="single" w:sz="8" w:space="0" w:color="FFFFFF"/>
              <w:right w:val="single" w:sz="8" w:space="0" w:color="FFFFFF"/>
            </w:tcBorders>
            <w:shd w:val="clear" w:color="000000" w:fill="CAEDFB"/>
            <w:vAlign w:val="center"/>
            <w:hideMark/>
          </w:tcPr>
          <w:p w14:paraId="6E075973"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No Demand</w:t>
            </w:r>
          </w:p>
        </w:tc>
        <w:tc>
          <w:tcPr>
            <w:tcW w:w="1217" w:type="dxa"/>
            <w:tcBorders>
              <w:top w:val="nil"/>
              <w:left w:val="nil"/>
              <w:bottom w:val="single" w:sz="8" w:space="0" w:color="FFFFFF"/>
              <w:right w:val="single" w:sz="8" w:space="0" w:color="FFFFFF"/>
            </w:tcBorders>
            <w:shd w:val="clear" w:color="000000" w:fill="CAEDFB"/>
            <w:vAlign w:val="center"/>
            <w:hideMark/>
          </w:tcPr>
          <w:p w14:paraId="2AFF7495"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35%</w:t>
            </w:r>
          </w:p>
        </w:tc>
        <w:tc>
          <w:tcPr>
            <w:tcW w:w="2448" w:type="dxa"/>
            <w:tcBorders>
              <w:top w:val="nil"/>
              <w:left w:val="nil"/>
              <w:bottom w:val="single" w:sz="8" w:space="0" w:color="FFFFFF"/>
              <w:right w:val="single" w:sz="8" w:space="0" w:color="FFFFFF"/>
            </w:tcBorders>
            <w:shd w:val="clear" w:color="000000" w:fill="CAEDFB"/>
            <w:vAlign w:val="center"/>
            <w:hideMark/>
          </w:tcPr>
          <w:p w14:paraId="25284FDF"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 xml:space="preserve">$7.5 </w:t>
            </w:r>
          </w:p>
        </w:tc>
        <w:tc>
          <w:tcPr>
            <w:tcW w:w="2448" w:type="dxa"/>
            <w:tcBorders>
              <w:top w:val="nil"/>
              <w:left w:val="nil"/>
              <w:bottom w:val="single" w:sz="8" w:space="0" w:color="FFFFFF"/>
              <w:right w:val="single" w:sz="8" w:space="0" w:color="FFFFFF"/>
            </w:tcBorders>
            <w:shd w:val="clear" w:color="000000" w:fill="CAEDFB"/>
            <w:vAlign w:val="center"/>
            <w:hideMark/>
          </w:tcPr>
          <w:p w14:paraId="168CEC64" w14:textId="2AEB082A"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w:t>
            </w:r>
            <w:r w:rsidR="00612743">
              <w:rPr>
                <w:rFonts w:ascii="Calibri" w:eastAsia="Times New Roman" w:hAnsi="Calibri" w:cs="Calibri"/>
                <w:color w:val="000000"/>
                <w:kern w:val="0"/>
                <w14:ligatures w14:val="none"/>
              </w:rPr>
              <w:t>5.0</w:t>
            </w:r>
          </w:p>
        </w:tc>
      </w:tr>
      <w:tr w:rsidR="00D7153A" w:rsidRPr="00103D33" w14:paraId="55D944A5" w14:textId="77777777" w:rsidTr="004E534D">
        <w:trPr>
          <w:trHeight w:val="432"/>
          <w:jc w:val="center"/>
        </w:trPr>
        <w:tc>
          <w:tcPr>
            <w:tcW w:w="2448" w:type="dxa"/>
            <w:tcBorders>
              <w:top w:val="single" w:sz="12" w:space="0" w:color="FFFFFF"/>
              <w:left w:val="single" w:sz="8" w:space="0" w:color="FFFFFF"/>
              <w:bottom w:val="single" w:sz="4" w:space="0" w:color="auto"/>
              <w:right w:val="single" w:sz="8" w:space="0" w:color="FFFFFF"/>
            </w:tcBorders>
            <w:shd w:val="clear" w:color="000000" w:fill="FFFFFF"/>
            <w:vAlign w:val="center"/>
            <w:hideMark/>
          </w:tcPr>
          <w:p w14:paraId="630FCFC4"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Market Downturn</w:t>
            </w:r>
          </w:p>
        </w:tc>
        <w:tc>
          <w:tcPr>
            <w:tcW w:w="1217" w:type="dxa"/>
            <w:tcBorders>
              <w:top w:val="single" w:sz="12" w:space="0" w:color="FFFFFF"/>
              <w:left w:val="nil"/>
              <w:bottom w:val="single" w:sz="4" w:space="0" w:color="auto"/>
              <w:right w:val="single" w:sz="8" w:space="0" w:color="FFFFFF"/>
            </w:tcBorders>
            <w:shd w:val="clear" w:color="000000" w:fill="FFFFFF"/>
            <w:vAlign w:val="center"/>
            <w:hideMark/>
          </w:tcPr>
          <w:p w14:paraId="70A273D5"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20%</w:t>
            </w:r>
          </w:p>
        </w:tc>
        <w:tc>
          <w:tcPr>
            <w:tcW w:w="2448" w:type="dxa"/>
            <w:tcBorders>
              <w:top w:val="nil"/>
              <w:left w:val="nil"/>
              <w:bottom w:val="single" w:sz="4" w:space="0" w:color="auto"/>
              <w:right w:val="single" w:sz="8" w:space="0" w:color="FFFFFF"/>
            </w:tcBorders>
            <w:shd w:val="clear" w:color="000000" w:fill="FFFFFF"/>
            <w:vAlign w:val="center"/>
            <w:hideMark/>
          </w:tcPr>
          <w:p w14:paraId="2342A638" w14:textId="77777777"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w:t>
            </w:r>
            <w:r>
              <w:rPr>
                <w:rFonts w:ascii="Calibri" w:eastAsia="Times New Roman" w:hAnsi="Calibri" w:cs="Calibri"/>
                <w:color w:val="000000"/>
                <w:kern w:val="0"/>
                <w14:ligatures w14:val="none"/>
              </w:rPr>
              <w:t>10</w:t>
            </w:r>
            <w:r w:rsidRPr="00103D33">
              <w:rPr>
                <w:rFonts w:ascii="Calibri" w:eastAsia="Times New Roman" w:hAnsi="Calibri" w:cs="Calibri"/>
                <w:color w:val="000000"/>
                <w:kern w:val="0"/>
                <w14:ligatures w14:val="none"/>
              </w:rPr>
              <w:t>.0</w:t>
            </w:r>
          </w:p>
        </w:tc>
        <w:tc>
          <w:tcPr>
            <w:tcW w:w="2448" w:type="dxa"/>
            <w:tcBorders>
              <w:top w:val="nil"/>
              <w:left w:val="nil"/>
              <w:bottom w:val="single" w:sz="4" w:space="0" w:color="auto"/>
              <w:right w:val="single" w:sz="8" w:space="0" w:color="FFFFFF"/>
            </w:tcBorders>
            <w:shd w:val="clear" w:color="000000" w:fill="FFFFFF"/>
            <w:vAlign w:val="center"/>
            <w:hideMark/>
          </w:tcPr>
          <w:p w14:paraId="4EEF854A" w14:textId="281C06CD" w:rsidR="00D7153A" w:rsidRPr="00103D33" w:rsidRDefault="00D7153A" w:rsidP="004E534D">
            <w:pPr>
              <w:spacing w:before="0" w:after="0" w:line="240" w:lineRule="auto"/>
              <w:jc w:val="center"/>
              <w:rPr>
                <w:rFonts w:ascii="Calibri" w:eastAsia="Times New Roman" w:hAnsi="Calibri" w:cs="Calibri"/>
                <w:color w:val="000000"/>
                <w:kern w:val="0"/>
                <w14:ligatures w14:val="none"/>
              </w:rPr>
            </w:pPr>
            <w:r w:rsidRPr="00103D33">
              <w:rPr>
                <w:rFonts w:ascii="Calibri" w:eastAsia="Times New Roman" w:hAnsi="Calibri" w:cs="Calibri"/>
                <w:color w:val="000000"/>
                <w:kern w:val="0"/>
                <w14:ligatures w14:val="none"/>
              </w:rPr>
              <w:t>$</w:t>
            </w:r>
            <w:r w:rsidR="00612743">
              <w:rPr>
                <w:rFonts w:ascii="Calibri" w:eastAsia="Times New Roman" w:hAnsi="Calibri" w:cs="Calibri"/>
                <w:color w:val="000000"/>
                <w:kern w:val="0"/>
                <w14:ligatures w14:val="none"/>
              </w:rPr>
              <w:t>0.0</w:t>
            </w:r>
          </w:p>
        </w:tc>
      </w:tr>
    </w:tbl>
    <w:p w14:paraId="0B2B42D7" w14:textId="77777777" w:rsidR="00D7153A" w:rsidRDefault="00D7153A" w:rsidP="00D7153A"/>
    <w:p w14:paraId="15AFDDDE" w14:textId="583D3604" w:rsidR="00D7153A" w:rsidRPr="00594C8C" w:rsidRDefault="0062011A" w:rsidP="00D7153A">
      <w:r w:rsidRPr="0062011A">
        <w:t>y calculating the expected value, decision-makers can compare the potential financial returns under uncertain market conditions</w:t>
      </w:r>
      <w:r w:rsidR="00D7153A">
        <w:t>:</w:t>
      </w:r>
    </w:p>
    <w:p w14:paraId="16DF4420" w14:textId="0A6D12FD" w:rsidR="00D7153A" w:rsidRPr="006907C1" w:rsidRDefault="00D7153A" w:rsidP="00D7153A">
      <w:pPr>
        <w:rPr>
          <w:rFonts w:eastAsiaTheme="minorEastAsia"/>
        </w:rPr>
      </w:pPr>
      <m:oMathPara>
        <m:oMathParaPr>
          <m:jc m:val="left"/>
        </m:oMathParaPr>
        <m:oMath>
          <m:r>
            <w:rPr>
              <w:rFonts w:ascii="Cambria Math" w:hAnsi="Cambria Math"/>
            </w:rPr>
            <m:t>EV(Option 1)=40×10%+30×25%+20×10%+7.5×35%+(-10)×10%=14.1 ($m)</m:t>
          </m:r>
        </m:oMath>
      </m:oMathPara>
    </w:p>
    <w:p w14:paraId="0E453521" w14:textId="157E3088" w:rsidR="00D7153A" w:rsidRPr="006907C1" w:rsidRDefault="00D7153A" w:rsidP="00D7153A">
      <w:pPr>
        <w:rPr>
          <w:rFonts w:eastAsiaTheme="minorEastAsia"/>
        </w:rPr>
      </w:pPr>
      <m:oMathPara>
        <m:oMathParaPr>
          <m:jc m:val="left"/>
        </m:oMathParaPr>
        <m:oMath>
          <m:r>
            <w:rPr>
              <w:rFonts w:ascii="Cambria Math" w:hAnsi="Cambria Math"/>
            </w:rPr>
            <m:t>EV(Option 2)=35×10%+25×25%+16×10%+4×35%+0×10%=13.1 ($m)</m:t>
          </m:r>
        </m:oMath>
      </m:oMathPara>
    </w:p>
    <w:p w14:paraId="77DF9AE5" w14:textId="0448C40F" w:rsidR="00E00099" w:rsidRDefault="0062011A" w:rsidP="00E00099">
      <w:r w:rsidRPr="0062011A">
        <w:t>This analysis shows that Option 1, with an expected value of $14.1 million, offers an 8% greater potential return than Option 2, guiding the company toward the more financially advantageous choice</w:t>
      </w:r>
      <w:r w:rsidR="00E00099">
        <w:t>.</w:t>
      </w:r>
    </w:p>
    <w:p w14:paraId="3420F4D8" w14:textId="77777777" w:rsidR="00B7082F" w:rsidRDefault="00B7082F" w:rsidP="00E00099"/>
    <w:p w14:paraId="38853BF7" w14:textId="686BEBB5" w:rsidR="00D7153A" w:rsidRDefault="002E0512" w:rsidP="00D7153A">
      <w:pPr>
        <w:pStyle w:val="Heading2"/>
      </w:pPr>
      <w:bookmarkStart w:id="66" w:name="_Toc191026937"/>
      <w:r>
        <w:t>Visualiz</w:t>
      </w:r>
      <w:r w:rsidR="0062011A">
        <w:t>e Options</w:t>
      </w:r>
      <w:r w:rsidR="00D7153A">
        <w:t xml:space="preserve"> with Decision Trees</w:t>
      </w:r>
      <w:bookmarkEnd w:id="66"/>
      <w:r w:rsidR="00D7153A">
        <w:t xml:space="preserve"> </w:t>
      </w:r>
    </w:p>
    <w:p w14:paraId="6A5A5183" w14:textId="51190251" w:rsidR="00D7153A" w:rsidRDefault="0062011A" w:rsidP="00D7153A">
      <w:r w:rsidRPr="0062011A">
        <w:t>While expected value provides a mathematical framework for decision-making, decision trees translate these calculations into a visual format, simplifying complex decision processes</w:t>
      </w:r>
      <w:r w:rsidR="00D7153A">
        <w:t>.</w:t>
      </w:r>
      <w:r w:rsidR="004B2C68">
        <w:t xml:space="preserve"> </w:t>
      </w:r>
    </w:p>
    <w:p w14:paraId="25F6062D" w14:textId="77777777" w:rsidR="00D7153A" w:rsidRDefault="00D7153A" w:rsidP="00D7153A">
      <w:pPr>
        <w:pStyle w:val="Heading3"/>
      </w:pPr>
      <w:r>
        <w:t>What is the Decision Tree Method?</w:t>
      </w:r>
    </w:p>
    <w:p w14:paraId="35FFBD1C" w14:textId="6735EEE8" w:rsidR="0062011A" w:rsidRDefault="0062011A" w:rsidP="0062011A">
      <w:r>
        <w:t xml:space="preserve">A decision tree is a tree-like model where each branch represents a decision option or possible scenario. By incorporating expected value calculations at each branch, decision trees help businesses </w:t>
      </w:r>
      <w:r w:rsidR="003914B6">
        <w:t>evaluate multiple options and uncertain scenarios simultaneously</w:t>
      </w:r>
      <w:r>
        <w:t>.</w:t>
      </w:r>
    </w:p>
    <w:p w14:paraId="2F06B8D5" w14:textId="77777777" w:rsidR="0062011A" w:rsidRDefault="0062011A" w:rsidP="0062011A"/>
    <w:p w14:paraId="43C577D6" w14:textId="49FFFBA7" w:rsidR="00D7153A" w:rsidRPr="00DB36BE" w:rsidRDefault="0062011A" w:rsidP="0062011A">
      <w:r>
        <w:lastRenderedPageBreak/>
        <w:t>In the energy capital investment example, the decision tree begins with a "decision node" representing the choice between two technology options. Each branch then leads to a "chance node" with five subsequent branches, representing uncertain market conditions, each with its probability and associated financial impact. The expected value at each chance node guides the final decision, making the process more transparent and intuitive</w:t>
      </w:r>
      <w:r w:rsidR="00DB36BE">
        <w:t>.</w:t>
      </w:r>
    </w:p>
    <w:p w14:paraId="160CCFC6" w14:textId="77777777" w:rsidR="009D626C" w:rsidRDefault="009D626C" w:rsidP="00D7153A"/>
    <w:p w14:paraId="2752F469" w14:textId="5B9F59BD" w:rsidR="009D626C" w:rsidRDefault="009D626C" w:rsidP="00D7153A">
      <w:r>
        <w:rPr>
          <w:noProof/>
        </w:rPr>
        <w:drawing>
          <wp:inline distT="0" distB="0" distL="0" distR="0" wp14:anchorId="0B427CDB" wp14:editId="49180890">
            <wp:extent cx="5734050" cy="4721401"/>
            <wp:effectExtent l="0" t="0" r="0" b="3175"/>
            <wp:docPr id="370847806"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7806" name="Picture 18"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155" cy="4731368"/>
                    </a:xfrm>
                    <a:prstGeom prst="rect">
                      <a:avLst/>
                    </a:prstGeom>
                  </pic:spPr>
                </pic:pic>
              </a:graphicData>
            </a:graphic>
          </wp:inline>
        </w:drawing>
      </w:r>
    </w:p>
    <w:p w14:paraId="259A4B12" w14:textId="6F1DD304" w:rsidR="00D7153A" w:rsidRDefault="00D7153A" w:rsidP="00D7153A">
      <w:pPr>
        <w:pStyle w:val="Heading3"/>
      </w:pPr>
      <w:r>
        <w:t>Construct a Decision Tree</w:t>
      </w:r>
    </w:p>
    <w:p w14:paraId="2779E8A8" w14:textId="77777777" w:rsidR="0062011A" w:rsidRDefault="0062011A" w:rsidP="0062011A">
      <w:r>
        <w:t>Building a decision tree involves creating a structured model that includes "decision nodes" and "chance nodes" to map out decisions and uncertainties.</w:t>
      </w:r>
    </w:p>
    <w:p w14:paraId="0ADF29B6" w14:textId="77777777" w:rsidR="0062011A" w:rsidRDefault="0062011A" w:rsidP="0062011A"/>
    <w:p w14:paraId="4BB8E673" w14:textId="649CA852" w:rsidR="00DB36BE" w:rsidRDefault="0062011A" w:rsidP="00D81274">
      <w:pPr>
        <w:pStyle w:val="ListParagraph"/>
        <w:numPr>
          <w:ilvl w:val="0"/>
          <w:numId w:val="23"/>
        </w:numPr>
      </w:pPr>
      <w:r>
        <w:t>A decision node, depicted as a square, represents a point where a decision-maker must make a choice. Its branches represent the choices to consider. In the investment example, the decision node signifies the plant's decision between implementing the cost-minimization technology or deploying the maximum flexibility alternative</w:t>
      </w:r>
      <w:r w:rsidR="00DB36BE">
        <w:t>.</w:t>
      </w:r>
    </w:p>
    <w:p w14:paraId="0F6DAFAF" w14:textId="08197649" w:rsidR="00DB36BE" w:rsidRDefault="00DB36BE" w:rsidP="00DB36BE">
      <w:pPr>
        <w:jc w:val="center"/>
      </w:pPr>
      <w:r>
        <w:rPr>
          <w:rFonts w:ascii="Times New Roman" w:eastAsia="Times New Roman" w:hAnsi="Times New Roman" w:cs="Times New Roman"/>
          <w:noProof/>
          <w:kern w:val="0"/>
          <w:sz w:val="24"/>
          <w:szCs w:val="24"/>
        </w:rPr>
        <w:drawing>
          <wp:inline distT="0" distB="0" distL="0" distR="0" wp14:anchorId="53DB969A" wp14:editId="7DF6EFA1">
            <wp:extent cx="1012746" cy="1685925"/>
            <wp:effectExtent l="0" t="0" r="0" b="0"/>
            <wp:docPr id="445081425" name="Picture 19"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81425" name="Picture 19" descr="A blue square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22045" cy="1701405"/>
                    </a:xfrm>
                    <a:prstGeom prst="rect">
                      <a:avLst/>
                    </a:prstGeom>
                  </pic:spPr>
                </pic:pic>
              </a:graphicData>
            </a:graphic>
          </wp:inline>
        </w:drawing>
      </w:r>
    </w:p>
    <w:p w14:paraId="7DF9813F" w14:textId="1BFAE1C0" w:rsidR="00DB36BE" w:rsidRDefault="0062011A" w:rsidP="00D81274">
      <w:pPr>
        <w:pStyle w:val="ListParagraph"/>
        <w:numPr>
          <w:ilvl w:val="0"/>
          <w:numId w:val="6"/>
        </w:numPr>
      </w:pPr>
      <w:r w:rsidRPr="0062011A">
        <w:t>A chance node, drawn as a circle, represents possible market scenarios, with branches complete with their probabilities and financial impacts. In the energy example, the monetary implications of each investment choice depend on future market demand, which is uncertain but can be forecasted in five distinct scenarios. These scenarios are represented as branches stemming from the chance node</w:t>
      </w:r>
      <w:r w:rsidR="00DB36BE">
        <w:t>.</w:t>
      </w:r>
    </w:p>
    <w:p w14:paraId="6AF3F0A5" w14:textId="77777777" w:rsidR="00DB36BE" w:rsidRDefault="00DB36BE" w:rsidP="00662D61">
      <w:pPr>
        <w:jc w:val="center"/>
      </w:pPr>
      <w:r w:rsidRPr="00243431">
        <w:rPr>
          <w:noProof/>
        </w:rPr>
        <w:drawing>
          <wp:inline distT="0" distB="0" distL="0" distR="0" wp14:anchorId="13749461" wp14:editId="7A6D0163">
            <wp:extent cx="4334256" cy="2514600"/>
            <wp:effectExtent l="0" t="0" r="0" b="0"/>
            <wp:docPr id="704875262"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6929" name="Picture 11"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4256" cy="2514600"/>
                    </a:xfrm>
                    <a:prstGeom prst="rect">
                      <a:avLst/>
                    </a:prstGeom>
                    <a:noFill/>
                    <a:ln>
                      <a:noFill/>
                    </a:ln>
                  </pic:spPr>
                </pic:pic>
              </a:graphicData>
            </a:graphic>
          </wp:inline>
        </w:drawing>
      </w:r>
    </w:p>
    <w:p w14:paraId="3260E212" w14:textId="064D5041" w:rsidR="009D626C" w:rsidRDefault="0062011A" w:rsidP="00DB36BE">
      <w:r w:rsidRPr="0062011A">
        <w:lastRenderedPageBreak/>
        <w:t>Thus, the decision tree provides a visual representation that helps decision-makers compare the options and choose the strategy that maximizes the expected value</w:t>
      </w:r>
      <w:r>
        <w:t>.</w:t>
      </w:r>
      <w:r w:rsidR="009D626C">
        <w:t xml:space="preserve"> </w:t>
      </w:r>
    </w:p>
    <w:p w14:paraId="753B33BC" w14:textId="404B593A" w:rsidR="00D7153A" w:rsidRDefault="00D7153A" w:rsidP="00D7153A">
      <w:pPr>
        <w:pStyle w:val="Heading3"/>
      </w:pPr>
      <w:bookmarkStart w:id="67" w:name="_Ref174960149"/>
      <w:r>
        <w:t>Mak</w:t>
      </w:r>
      <w:r w:rsidR="0077035D">
        <w:t>e</w:t>
      </w:r>
      <w:r>
        <w:t xml:space="preserve"> Decisions with Decision Trees</w:t>
      </w:r>
      <w:bookmarkEnd w:id="67"/>
    </w:p>
    <w:p w14:paraId="33898B53" w14:textId="77777777" w:rsidR="0062011A" w:rsidRDefault="0062011A" w:rsidP="0062011A">
      <w:r>
        <w:t>Solving a decision tree involves calculating the expected value for each decision option and comparing these values to identify the best choice. This process often involves backward induction, where calculations start at the rightmost nodes and work backward to the decision node.</w:t>
      </w:r>
    </w:p>
    <w:p w14:paraId="50F58AD6" w14:textId="67CAB880" w:rsidR="00DE7607" w:rsidRDefault="0062011A" w:rsidP="0062011A">
      <w:r>
        <w:t>For instance, in our example, the expected value for Option 1 is $14.1 million, while Option 2 yields $13.1 million. By comparing these values, decision-makers can see that Option 1 offers a higher potential return, leading to a more informed and strategic decision</w:t>
      </w:r>
      <w:r w:rsidR="00DE7607">
        <w:t>.</w:t>
      </w:r>
    </w:p>
    <w:p w14:paraId="1874FA61" w14:textId="77777777" w:rsidR="00DE7607" w:rsidRDefault="00DE7607" w:rsidP="00B7082F">
      <w:pPr>
        <w:pStyle w:val="Heading3"/>
      </w:pPr>
      <w:r>
        <w:t>Tools for Building Decision Trees</w:t>
      </w:r>
    </w:p>
    <w:p w14:paraId="7380591C" w14:textId="4995E000" w:rsidR="00DE7607" w:rsidRDefault="0062011A" w:rsidP="00DE7607">
      <w:r w:rsidRPr="0062011A">
        <w:t xml:space="preserve">Several software options are available for constructing decision trees, making them accessible to users with varying data analytics expertise. Programs like IBM SPSS and MATLAB offer robust tools for creating and analyzing decision trees. Excel add-ins like Analytic Solver and </w:t>
      </w:r>
      <w:proofErr w:type="spellStart"/>
      <w:r w:rsidRPr="0062011A">
        <w:t>TreePlan</w:t>
      </w:r>
      <w:proofErr w:type="spellEnd"/>
      <w:r w:rsidRPr="0062011A">
        <w:t xml:space="preserve"> provide powerful decision-tree functionalities under spreadsheet environments</w:t>
      </w:r>
      <w:r w:rsidR="00DE7607" w:rsidRPr="00DE7607">
        <w:t xml:space="preserve">. </w:t>
      </w:r>
      <w:r w:rsidR="00DE7607">
        <w:t xml:space="preserve"> </w:t>
      </w:r>
    </w:p>
    <w:p w14:paraId="2325AE99" w14:textId="77777777" w:rsidR="00DE7607" w:rsidRDefault="00DE7607" w:rsidP="00DE7607"/>
    <w:p w14:paraId="401C1937" w14:textId="2976699A" w:rsidR="00D7153A" w:rsidRDefault="00B7082F" w:rsidP="00D7153A">
      <w:pPr>
        <w:pStyle w:val="Heading2"/>
      </w:pPr>
      <w:bookmarkStart w:id="68" w:name="_Toc191026938"/>
      <w:r>
        <w:t xml:space="preserve">Advanced Analytics: </w:t>
      </w:r>
      <w:r w:rsidR="00D7153A">
        <w:t xml:space="preserve">Decision Trees for Sequential </w:t>
      </w:r>
      <w:r w:rsidR="0062011A">
        <w:t>Decisions</w:t>
      </w:r>
      <w:bookmarkEnd w:id="68"/>
    </w:p>
    <w:p w14:paraId="7790DB5C" w14:textId="1B4B6D21" w:rsidR="00DB36BE" w:rsidRDefault="0062011A" w:rsidP="00DB36BE">
      <w:r w:rsidRPr="0062011A">
        <w:t>Decision trees are powerful in visualizing decision analysis for complex, sequential decision-making scenarios where the outcome of one decision influences subsequent choices. These decisions are logically interrelated and represent a company's multiple decisions or reactions to competitors' moves</w:t>
      </w:r>
      <w:r w:rsidR="00B67A09" w:rsidRPr="00B67A09">
        <w:t>.</w:t>
      </w:r>
    </w:p>
    <w:p w14:paraId="443C9F99" w14:textId="218EAD00" w:rsidR="00DB36BE" w:rsidRDefault="00DB36BE" w:rsidP="00DB36BE">
      <w:pPr>
        <w:pStyle w:val="Heading3"/>
      </w:pPr>
      <w:r>
        <w:lastRenderedPageBreak/>
        <w:t>Example: Sequential Decision-Making in Product Launches</w:t>
      </w:r>
    </w:p>
    <w:p w14:paraId="639ADAA3" w14:textId="3D340D3D" w:rsidR="00B67A09" w:rsidRDefault="0029544D" w:rsidP="00B67A09">
      <w:r w:rsidRPr="0029544D">
        <w:t>Consider a company deciding whether to launch a new product amid uncertain market conditions. Three potential market scenarios exist</w:t>
      </w:r>
      <w:r>
        <w:t xml:space="preserve">: </w:t>
      </w:r>
      <w:r w:rsidRPr="0029544D">
        <w:t>strong acceptance leading to substantial profits, moderate demand resulting in moderate profits, or poor sales causing financial losses</w:t>
      </w:r>
      <w:r w:rsidR="00B67A09">
        <w:t xml:space="preserve">. </w:t>
      </w:r>
    </w:p>
    <w:tbl>
      <w:tblPr>
        <w:tblpPr w:leftFromText="180" w:rightFromText="180" w:vertAnchor="text" w:horzAnchor="margin" w:tblpXSpec="center" w:tblpY="-81"/>
        <w:tblW w:w="7060" w:type="dxa"/>
        <w:tblLook w:val="04A0" w:firstRow="1" w:lastRow="0" w:firstColumn="1" w:lastColumn="0" w:noHBand="0" w:noVBand="1"/>
      </w:tblPr>
      <w:tblGrid>
        <w:gridCol w:w="2700"/>
        <w:gridCol w:w="1500"/>
        <w:gridCol w:w="2860"/>
      </w:tblGrid>
      <w:tr w:rsidR="00662D61" w:rsidRPr="00F00C1E" w14:paraId="50F3D8CE" w14:textId="77777777" w:rsidTr="00662D61">
        <w:trPr>
          <w:trHeight w:val="315"/>
        </w:trPr>
        <w:tc>
          <w:tcPr>
            <w:tcW w:w="2700" w:type="dxa"/>
            <w:tcBorders>
              <w:top w:val="single" w:sz="4" w:space="0" w:color="auto"/>
              <w:left w:val="nil"/>
              <w:bottom w:val="nil"/>
              <w:right w:val="nil"/>
            </w:tcBorders>
            <w:shd w:val="clear" w:color="000000" w:fill="0F9ED5"/>
            <w:noWrap/>
            <w:vAlign w:val="center"/>
            <w:hideMark/>
          </w:tcPr>
          <w:p w14:paraId="6B804B04" w14:textId="77777777" w:rsidR="00662D61" w:rsidRPr="00F00C1E" w:rsidRDefault="00662D61" w:rsidP="00662D61">
            <w:pPr>
              <w:spacing w:before="0" w:after="0" w:line="240" w:lineRule="auto"/>
              <w:jc w:val="center"/>
              <w:rPr>
                <w:rFonts w:ascii="Calibri" w:eastAsia="Times New Roman" w:hAnsi="Calibri" w:cs="Calibri"/>
                <w:b/>
                <w:bCs/>
                <w:color w:val="FFFFFF"/>
                <w:kern w:val="0"/>
                <w14:ligatures w14:val="none"/>
              </w:rPr>
            </w:pPr>
            <w:r w:rsidRPr="00F00C1E">
              <w:rPr>
                <w:rFonts w:ascii="Calibri" w:eastAsia="Times New Roman" w:hAnsi="Calibri" w:cs="Calibri"/>
                <w:b/>
                <w:bCs/>
                <w:color w:val="FFFFFF"/>
                <w:kern w:val="0"/>
                <w14:ligatures w14:val="none"/>
              </w:rPr>
              <w:t>Market Condition</w:t>
            </w:r>
          </w:p>
        </w:tc>
        <w:tc>
          <w:tcPr>
            <w:tcW w:w="1500" w:type="dxa"/>
            <w:tcBorders>
              <w:top w:val="single" w:sz="4" w:space="0" w:color="auto"/>
              <w:left w:val="nil"/>
              <w:bottom w:val="nil"/>
              <w:right w:val="nil"/>
            </w:tcBorders>
            <w:shd w:val="clear" w:color="000000" w:fill="0F9ED5"/>
            <w:vAlign w:val="center"/>
            <w:hideMark/>
          </w:tcPr>
          <w:p w14:paraId="33CAD5CF" w14:textId="77777777" w:rsidR="00662D61" w:rsidRPr="00F00C1E" w:rsidRDefault="00662D61" w:rsidP="00662D61">
            <w:pPr>
              <w:spacing w:before="0" w:after="0" w:line="240" w:lineRule="auto"/>
              <w:jc w:val="center"/>
              <w:rPr>
                <w:rFonts w:ascii="Calibri" w:eastAsia="Times New Roman" w:hAnsi="Calibri" w:cs="Calibri"/>
                <w:b/>
                <w:bCs/>
                <w:color w:val="FFFFFF"/>
                <w:kern w:val="0"/>
                <w14:ligatures w14:val="none"/>
              </w:rPr>
            </w:pPr>
            <w:r w:rsidRPr="00F00C1E">
              <w:rPr>
                <w:rFonts w:ascii="Calibri" w:eastAsia="Times New Roman" w:hAnsi="Calibri" w:cs="Calibri"/>
                <w:b/>
                <w:bCs/>
                <w:color w:val="FFFFFF"/>
                <w:kern w:val="0"/>
                <w14:ligatures w14:val="none"/>
              </w:rPr>
              <w:t>Probability</w:t>
            </w:r>
          </w:p>
        </w:tc>
        <w:tc>
          <w:tcPr>
            <w:tcW w:w="2860" w:type="dxa"/>
            <w:tcBorders>
              <w:top w:val="single" w:sz="4" w:space="0" w:color="auto"/>
              <w:left w:val="nil"/>
              <w:bottom w:val="single" w:sz="4" w:space="0" w:color="auto"/>
              <w:right w:val="nil"/>
            </w:tcBorders>
            <w:shd w:val="clear" w:color="000000" w:fill="0F9ED5"/>
            <w:vAlign w:val="center"/>
            <w:hideMark/>
          </w:tcPr>
          <w:p w14:paraId="07793BB2" w14:textId="77777777" w:rsidR="00662D61" w:rsidRPr="00F00C1E" w:rsidRDefault="00662D61" w:rsidP="00662D61">
            <w:pPr>
              <w:spacing w:before="0" w:after="0" w:line="240" w:lineRule="auto"/>
              <w:jc w:val="center"/>
              <w:rPr>
                <w:rFonts w:ascii="Calibri" w:eastAsia="Times New Roman" w:hAnsi="Calibri" w:cs="Calibri"/>
                <w:b/>
                <w:bCs/>
                <w:color w:val="FFFFFF"/>
                <w:kern w:val="0"/>
                <w14:ligatures w14:val="none"/>
              </w:rPr>
            </w:pPr>
            <w:r w:rsidRPr="00F00C1E">
              <w:rPr>
                <w:rFonts w:ascii="Calibri" w:eastAsia="Times New Roman" w:hAnsi="Calibri" w:cs="Calibri"/>
                <w:b/>
                <w:bCs/>
                <w:color w:val="FFFFFF"/>
                <w:kern w:val="0"/>
                <w14:ligatures w14:val="none"/>
              </w:rPr>
              <w:t xml:space="preserve"> Financial Impact ($ millions)</w:t>
            </w:r>
          </w:p>
        </w:tc>
      </w:tr>
      <w:tr w:rsidR="00662D61" w:rsidRPr="00F00C1E" w14:paraId="7D446DAF" w14:textId="77777777" w:rsidTr="00662D61">
        <w:trPr>
          <w:trHeight w:val="330"/>
        </w:trPr>
        <w:tc>
          <w:tcPr>
            <w:tcW w:w="2700" w:type="dxa"/>
            <w:tcBorders>
              <w:top w:val="single" w:sz="12" w:space="0" w:color="FFFFFF"/>
              <w:left w:val="single" w:sz="8" w:space="0" w:color="FFFFFF"/>
              <w:bottom w:val="single" w:sz="8" w:space="0" w:color="FFFFFF"/>
              <w:right w:val="single" w:sz="8" w:space="0" w:color="FFFFFF"/>
            </w:tcBorders>
            <w:shd w:val="clear" w:color="000000" w:fill="FFFFFF"/>
            <w:vAlign w:val="center"/>
            <w:hideMark/>
          </w:tcPr>
          <w:p w14:paraId="35D13911"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sidRPr="00F00C1E">
              <w:rPr>
                <w:rFonts w:ascii="Calibri" w:eastAsia="Times New Roman" w:hAnsi="Calibri" w:cs="Calibri"/>
                <w:color w:val="000000"/>
                <w:kern w:val="0"/>
                <w14:ligatures w14:val="none"/>
              </w:rPr>
              <w:t>Strong acceptance</w:t>
            </w:r>
          </w:p>
        </w:tc>
        <w:tc>
          <w:tcPr>
            <w:tcW w:w="1500" w:type="dxa"/>
            <w:tcBorders>
              <w:top w:val="single" w:sz="12" w:space="0" w:color="FFFFFF"/>
              <w:left w:val="nil"/>
              <w:bottom w:val="single" w:sz="8" w:space="0" w:color="FFFFFF"/>
              <w:right w:val="single" w:sz="8" w:space="0" w:color="FFFFFF"/>
            </w:tcBorders>
            <w:shd w:val="clear" w:color="000000" w:fill="FFFFFF"/>
            <w:vAlign w:val="center"/>
            <w:hideMark/>
          </w:tcPr>
          <w:p w14:paraId="36872009"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sidRPr="00F00C1E">
              <w:rPr>
                <w:rFonts w:ascii="Calibri" w:eastAsia="Times New Roman" w:hAnsi="Calibri" w:cs="Calibri"/>
                <w:color w:val="000000"/>
                <w:kern w:val="0"/>
                <w14:ligatures w14:val="none"/>
              </w:rPr>
              <w:t>4</w:t>
            </w:r>
            <w:r>
              <w:rPr>
                <w:rFonts w:ascii="Calibri" w:eastAsia="Times New Roman" w:hAnsi="Calibri" w:cs="Calibri"/>
                <w:color w:val="000000"/>
                <w:kern w:val="0"/>
                <w14:ligatures w14:val="none"/>
              </w:rPr>
              <w:t>0</w:t>
            </w:r>
            <w:r w:rsidRPr="00F00C1E">
              <w:rPr>
                <w:rFonts w:ascii="Calibri" w:eastAsia="Times New Roman" w:hAnsi="Calibri" w:cs="Calibri"/>
                <w:color w:val="000000"/>
                <w:kern w:val="0"/>
                <w14:ligatures w14:val="none"/>
              </w:rPr>
              <w:t>%</w:t>
            </w:r>
          </w:p>
        </w:tc>
        <w:tc>
          <w:tcPr>
            <w:tcW w:w="2860" w:type="dxa"/>
            <w:tcBorders>
              <w:top w:val="single" w:sz="8" w:space="0" w:color="FFFFFF"/>
              <w:left w:val="nil"/>
              <w:bottom w:val="single" w:sz="8" w:space="0" w:color="FFFFFF"/>
              <w:right w:val="single" w:sz="8" w:space="0" w:color="FFFFFF"/>
            </w:tcBorders>
            <w:shd w:val="clear" w:color="000000" w:fill="FFFFFF"/>
            <w:vAlign w:val="center"/>
            <w:hideMark/>
          </w:tcPr>
          <w:p w14:paraId="78E4D175"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sidRPr="00F00C1E">
              <w:rPr>
                <w:rFonts w:ascii="Calibri" w:eastAsia="Times New Roman" w:hAnsi="Calibri" w:cs="Calibri"/>
                <w:color w:val="000000"/>
                <w:kern w:val="0"/>
                <w14:ligatures w14:val="none"/>
              </w:rPr>
              <w:t xml:space="preserve">$10.0 </w:t>
            </w:r>
          </w:p>
        </w:tc>
      </w:tr>
      <w:tr w:rsidR="00662D61" w:rsidRPr="00F00C1E" w14:paraId="22C0A007" w14:textId="77777777" w:rsidTr="00662D61">
        <w:trPr>
          <w:trHeight w:val="315"/>
        </w:trPr>
        <w:tc>
          <w:tcPr>
            <w:tcW w:w="2700" w:type="dxa"/>
            <w:tcBorders>
              <w:top w:val="nil"/>
              <w:left w:val="single" w:sz="8" w:space="0" w:color="FFFFFF"/>
              <w:bottom w:val="single" w:sz="8" w:space="0" w:color="FFFFFF"/>
              <w:right w:val="single" w:sz="8" w:space="0" w:color="FFFFFF"/>
            </w:tcBorders>
            <w:shd w:val="clear" w:color="000000" w:fill="CAEDFB"/>
            <w:vAlign w:val="center"/>
            <w:hideMark/>
          </w:tcPr>
          <w:p w14:paraId="4530E043"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sidRPr="00F00C1E">
              <w:rPr>
                <w:rFonts w:ascii="Calibri" w:eastAsia="Times New Roman" w:hAnsi="Calibri" w:cs="Calibri"/>
                <w:color w:val="000000"/>
                <w:kern w:val="0"/>
                <w14:ligatures w14:val="none"/>
              </w:rPr>
              <w:t>Moderate demand</w:t>
            </w:r>
          </w:p>
        </w:tc>
        <w:tc>
          <w:tcPr>
            <w:tcW w:w="1500" w:type="dxa"/>
            <w:tcBorders>
              <w:top w:val="nil"/>
              <w:left w:val="nil"/>
              <w:bottom w:val="single" w:sz="8" w:space="0" w:color="FFFFFF"/>
              <w:right w:val="single" w:sz="8" w:space="0" w:color="FFFFFF"/>
            </w:tcBorders>
            <w:shd w:val="clear" w:color="000000" w:fill="CAEDFB"/>
            <w:vAlign w:val="center"/>
            <w:hideMark/>
          </w:tcPr>
          <w:p w14:paraId="7F1856C2"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40</w:t>
            </w:r>
            <w:r w:rsidRPr="00F00C1E">
              <w:rPr>
                <w:rFonts w:ascii="Calibri" w:eastAsia="Times New Roman" w:hAnsi="Calibri" w:cs="Calibri"/>
                <w:color w:val="000000"/>
                <w:kern w:val="0"/>
                <w14:ligatures w14:val="none"/>
              </w:rPr>
              <w:t>%</w:t>
            </w:r>
          </w:p>
        </w:tc>
        <w:tc>
          <w:tcPr>
            <w:tcW w:w="2860" w:type="dxa"/>
            <w:tcBorders>
              <w:top w:val="nil"/>
              <w:left w:val="nil"/>
              <w:bottom w:val="single" w:sz="8" w:space="0" w:color="FFFFFF"/>
              <w:right w:val="single" w:sz="8" w:space="0" w:color="FFFFFF"/>
            </w:tcBorders>
            <w:shd w:val="clear" w:color="000000" w:fill="CAEDFB"/>
            <w:vAlign w:val="center"/>
            <w:hideMark/>
          </w:tcPr>
          <w:p w14:paraId="63C54A4F"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sidRPr="00F00C1E">
              <w:rPr>
                <w:rFonts w:ascii="Calibri" w:eastAsia="Times New Roman" w:hAnsi="Calibri" w:cs="Calibri"/>
                <w:color w:val="000000"/>
                <w:kern w:val="0"/>
                <w14:ligatures w14:val="none"/>
              </w:rPr>
              <w:t xml:space="preserve">$5.0 </w:t>
            </w:r>
          </w:p>
        </w:tc>
      </w:tr>
      <w:tr w:rsidR="00662D61" w:rsidRPr="00F00C1E" w14:paraId="29D8E5C8" w14:textId="77777777" w:rsidTr="00662D61">
        <w:trPr>
          <w:trHeight w:val="315"/>
        </w:trPr>
        <w:tc>
          <w:tcPr>
            <w:tcW w:w="2700" w:type="dxa"/>
            <w:tcBorders>
              <w:top w:val="single" w:sz="12" w:space="0" w:color="FFFFFF"/>
              <w:left w:val="single" w:sz="8" w:space="0" w:color="FFFFFF"/>
              <w:bottom w:val="single" w:sz="4" w:space="0" w:color="auto"/>
              <w:right w:val="single" w:sz="8" w:space="0" w:color="FFFFFF"/>
            </w:tcBorders>
            <w:shd w:val="clear" w:color="000000" w:fill="FFFFFF"/>
            <w:vAlign w:val="center"/>
            <w:hideMark/>
          </w:tcPr>
          <w:p w14:paraId="52C7F286"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sidRPr="00F00C1E">
              <w:rPr>
                <w:rFonts w:ascii="Calibri" w:eastAsia="Times New Roman" w:hAnsi="Calibri" w:cs="Calibri"/>
                <w:color w:val="000000"/>
                <w:kern w:val="0"/>
                <w14:ligatures w14:val="none"/>
              </w:rPr>
              <w:t>Poor sales</w:t>
            </w:r>
          </w:p>
        </w:tc>
        <w:tc>
          <w:tcPr>
            <w:tcW w:w="1500" w:type="dxa"/>
            <w:tcBorders>
              <w:top w:val="single" w:sz="12" w:space="0" w:color="FFFFFF"/>
              <w:left w:val="nil"/>
              <w:bottom w:val="single" w:sz="4" w:space="0" w:color="auto"/>
              <w:right w:val="single" w:sz="8" w:space="0" w:color="FFFFFF"/>
            </w:tcBorders>
            <w:shd w:val="clear" w:color="000000" w:fill="FFFFFF"/>
            <w:vAlign w:val="center"/>
            <w:hideMark/>
          </w:tcPr>
          <w:p w14:paraId="5BAFF18B"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20</w:t>
            </w:r>
            <w:r w:rsidRPr="00F00C1E">
              <w:rPr>
                <w:rFonts w:ascii="Calibri" w:eastAsia="Times New Roman" w:hAnsi="Calibri" w:cs="Calibri"/>
                <w:color w:val="000000"/>
                <w:kern w:val="0"/>
                <w14:ligatures w14:val="none"/>
              </w:rPr>
              <w:t>%</w:t>
            </w:r>
          </w:p>
        </w:tc>
        <w:tc>
          <w:tcPr>
            <w:tcW w:w="2860" w:type="dxa"/>
            <w:tcBorders>
              <w:top w:val="nil"/>
              <w:left w:val="nil"/>
              <w:bottom w:val="single" w:sz="4" w:space="0" w:color="auto"/>
              <w:right w:val="single" w:sz="8" w:space="0" w:color="FFFFFF"/>
            </w:tcBorders>
            <w:shd w:val="clear" w:color="000000" w:fill="FFFFFF"/>
            <w:vAlign w:val="center"/>
            <w:hideMark/>
          </w:tcPr>
          <w:p w14:paraId="07D24CCC" w14:textId="77777777" w:rsidR="00662D61" w:rsidRPr="00F00C1E" w:rsidRDefault="00662D61" w:rsidP="00662D61">
            <w:pPr>
              <w:spacing w:before="0" w:after="0" w:line="240" w:lineRule="auto"/>
              <w:jc w:val="center"/>
              <w:rPr>
                <w:rFonts w:ascii="Calibri" w:eastAsia="Times New Roman" w:hAnsi="Calibri" w:cs="Calibri"/>
                <w:color w:val="000000"/>
                <w:kern w:val="0"/>
                <w14:ligatures w14:val="none"/>
              </w:rPr>
            </w:pPr>
            <w:r w:rsidRPr="00F00C1E">
              <w:rPr>
                <w:rFonts w:ascii="Calibri" w:eastAsia="Times New Roman" w:hAnsi="Calibri" w:cs="Calibri"/>
                <w:color w:val="FF0000"/>
                <w:kern w:val="0"/>
                <w14:ligatures w14:val="none"/>
              </w:rPr>
              <w:t>($6.0)</w:t>
            </w:r>
          </w:p>
        </w:tc>
      </w:tr>
    </w:tbl>
    <w:p w14:paraId="4FC56067" w14:textId="036F0C13" w:rsidR="00F22442" w:rsidRDefault="00F22442" w:rsidP="00F22442"/>
    <w:p w14:paraId="34FE8ADF" w14:textId="187A23CF" w:rsidR="00F22442" w:rsidRDefault="00F22442" w:rsidP="00F22442"/>
    <w:p w14:paraId="539E6096" w14:textId="77777777" w:rsidR="00D7153A" w:rsidRDefault="00D7153A" w:rsidP="00D7153A"/>
    <w:p w14:paraId="2B31DDB6" w14:textId="6C97AE4F" w:rsidR="00F22442" w:rsidRDefault="0029544D" w:rsidP="00F22442">
      <w:r w:rsidRPr="0029544D">
        <w:t>The company also has the option to hire a consulting firm to conduct a comprehensive market study to determine which market scenario is most likely to unfold. In a sequential decision-making process, the order of decisions is determined by how each decision impacts subsequent ones. For example, the decision to conduct the market survey precedes the decision to launch the product because the market insights gathered are expected to inform and enhance the decision-making for the product launch</w:t>
      </w:r>
      <w:r w:rsidR="00C33A40">
        <w:t xml:space="preserve">. </w:t>
      </w:r>
    </w:p>
    <w:p w14:paraId="05AC4A5C" w14:textId="595105E6" w:rsidR="00F22442" w:rsidRDefault="00054D3A" w:rsidP="00F22442">
      <w:pPr>
        <w:pStyle w:val="Heading3"/>
      </w:pPr>
      <w:r>
        <w:t xml:space="preserve">Building a </w:t>
      </w:r>
      <w:r w:rsidR="00F22442">
        <w:t xml:space="preserve">Sequential Decision-Making </w:t>
      </w:r>
      <w:r>
        <w:t>Tree</w:t>
      </w:r>
    </w:p>
    <w:p w14:paraId="20F57FF0" w14:textId="7C609295" w:rsidR="0029544D" w:rsidRDefault="0029544D" w:rsidP="0029544D">
      <w:r>
        <w:t xml:space="preserve">The process begins with a decision node representing the initial choice in a multi-step decision tree. From this node, branches extend to chance nodes, depicting possible outcomes or scenarios resulting from the initial decision. Each chance node leads to further decision nodes, illustrating how the </w:t>
      </w:r>
      <w:r w:rsidR="003914B6">
        <w:t>consequenc</w:t>
      </w:r>
      <w:r>
        <w:t>es of earlier choices influence subsequent decisions.</w:t>
      </w:r>
    </w:p>
    <w:p w14:paraId="7FAE8D76" w14:textId="0539D0E4" w:rsidR="00B67A09" w:rsidRDefault="0029544D" w:rsidP="0029544D">
      <w:r>
        <w:t xml:space="preserve">The product decision tree, for instance, starts with a binary "decision node" to conduct the market survey or not. If the company opts to conduct the study, this leads to a chance node representing various market demand scenarios that the study will uncover. Each scenario's probability aligns with the likelihood of market outcomes based on sample customer responses: a 40% chance of strong market </w:t>
      </w:r>
      <w:r>
        <w:lastRenderedPageBreak/>
        <w:t>acceptance, 40% for moderate demand, and 20% for poor sales. The market study incurs a cost of $0.25 million.</w:t>
      </w:r>
    </w:p>
    <w:p w14:paraId="65C3F924" w14:textId="77777777" w:rsidR="0030317E" w:rsidRPr="00A10E3B" w:rsidRDefault="0030317E" w:rsidP="0030317E">
      <w:pPr>
        <w:spacing w:before="0" w:after="0" w:line="240" w:lineRule="auto"/>
        <w:rPr>
          <w:rFonts w:ascii="Times New Roman" w:eastAsia="Times New Roman" w:hAnsi="Times New Roman" w:cs="Times New Roman"/>
          <w:kern w:val="0"/>
          <w:sz w:val="24"/>
          <w:szCs w:val="24"/>
          <w14:ligatures w14:val="none"/>
        </w:rPr>
      </w:pPr>
      <w:r w:rsidRPr="00A10E3B">
        <w:rPr>
          <w:rFonts w:ascii="Times New Roman" w:eastAsia="Times New Roman" w:hAnsi="Times New Roman" w:cs="Times New Roman"/>
          <w:noProof/>
          <w:kern w:val="0"/>
          <w:sz w:val="24"/>
          <w:szCs w:val="24"/>
          <w14:ligatures w14:val="none"/>
        </w:rPr>
        <w:drawing>
          <wp:inline distT="0" distB="0" distL="0" distR="0" wp14:anchorId="4963816E" wp14:editId="09692804">
            <wp:extent cx="5943600" cy="3753485"/>
            <wp:effectExtent l="0" t="0" r="0" b="0"/>
            <wp:docPr id="1663627687" name="Picture 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364" name="Picture 5" descr="A diagram of a produ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2A39CF7E" w14:textId="77777777" w:rsidR="0030317E" w:rsidRPr="00A10E3B" w:rsidRDefault="0030317E" w:rsidP="0030317E">
      <w:pPr>
        <w:spacing w:before="0" w:after="0" w:line="240" w:lineRule="auto"/>
        <w:rPr>
          <w:rFonts w:ascii="Times New Roman" w:eastAsia="Times New Roman" w:hAnsi="Times New Roman" w:cs="Times New Roman"/>
          <w:kern w:val="0"/>
          <w:sz w:val="24"/>
          <w:szCs w:val="24"/>
          <w14:ligatures w14:val="none"/>
        </w:rPr>
      </w:pPr>
    </w:p>
    <w:p w14:paraId="6F848726" w14:textId="3D88C95B" w:rsidR="0030317E" w:rsidRDefault="0029544D" w:rsidP="0030317E">
      <w:r w:rsidRPr="0029544D">
        <w:t>Each scenario branches into a sequential product "decision node," where the company decides whether to launch the product based on insights from the market study. For example</w:t>
      </w:r>
      <w:r w:rsidR="0030317E">
        <w:t>:</w:t>
      </w:r>
      <w:r w:rsidR="00DE6DA3">
        <w:t xml:space="preserve"> </w:t>
      </w:r>
    </w:p>
    <w:p w14:paraId="4A41A1CF" w14:textId="1DD82728" w:rsidR="0030317E" w:rsidRDefault="00DE6DA3" w:rsidP="0030317E">
      <w:r>
        <w:t>EV</w:t>
      </w:r>
      <w:r w:rsidR="0030317E">
        <w:t xml:space="preserve"> of launching with strong acceptance:</w:t>
      </w:r>
    </w:p>
    <w:p w14:paraId="52E95658" w14:textId="4439C30D" w:rsidR="0030317E" w:rsidRPr="00C34F4C" w:rsidRDefault="0030317E" w:rsidP="0030317E">
      <w:pPr>
        <w:rPr>
          <w:rStyle w:val="katex-mathml"/>
          <w:rFonts w:eastAsiaTheme="minorEastAsia"/>
        </w:rPr>
      </w:pPr>
      <m:oMathPara>
        <m:oMath>
          <m:r>
            <w:rPr>
              <w:rFonts w:ascii="Cambria Math" w:hAnsi="Cambria Math"/>
            </w:rPr>
            <m:t>EV</m:t>
          </m:r>
          <m:d>
            <m:dPr>
              <m:ctrlPr>
                <w:rPr>
                  <w:rFonts w:ascii="Cambria Math" w:hAnsi="Cambria Math"/>
                  <w:i/>
                </w:rPr>
              </m:ctrlPr>
            </m:dPr>
            <m:e>
              <m:r>
                <w:rPr>
                  <w:rFonts w:ascii="Cambria Math" w:hAnsi="Cambria Math"/>
                </w:rPr>
                <m:t>Strong Acceptance</m:t>
              </m:r>
            </m:e>
          </m:d>
          <m:r>
            <w:rPr>
              <w:rFonts w:ascii="Cambria Math" w:hAnsi="Cambria Math"/>
            </w:rPr>
            <m:t>=</m:t>
          </m:r>
          <m:r>
            <m:rPr>
              <m:sty m:val="p"/>
            </m:rPr>
            <w:rPr>
              <w:rStyle w:val="katex-mathml"/>
              <w:rFonts w:ascii="Cambria Math" w:hAnsi="Cambria Math"/>
            </w:rPr>
            <m:t xml:space="preserve">0.4×10.0=4.0 ($m) </m:t>
          </m:r>
        </m:oMath>
      </m:oMathPara>
    </w:p>
    <w:p w14:paraId="5CA24722" w14:textId="3D4AF2A7" w:rsidR="0030317E" w:rsidRPr="00330514" w:rsidRDefault="00DE6DA3" w:rsidP="0030317E">
      <w:pPr>
        <w:rPr>
          <w:rFonts w:eastAsiaTheme="minorEastAsia"/>
        </w:rPr>
      </w:pPr>
      <w:r>
        <w:t>EV</w:t>
      </w:r>
      <w:r w:rsidR="0030317E">
        <w:t xml:space="preserve"> of launching with moderate demand:</w:t>
      </w:r>
    </w:p>
    <w:p w14:paraId="588FC309" w14:textId="46E177A5" w:rsidR="0030317E" w:rsidRPr="00330514" w:rsidRDefault="0030317E" w:rsidP="0030317E">
      <w:pPr>
        <w:rPr>
          <w:rStyle w:val="katex-mathml"/>
          <w:rFonts w:eastAsiaTheme="minorEastAsia"/>
        </w:rPr>
      </w:pPr>
      <m:oMathPara>
        <m:oMath>
          <m:r>
            <w:rPr>
              <w:rFonts w:ascii="Cambria Math" w:hAnsi="Cambria Math"/>
            </w:rPr>
            <m:t>EV</m:t>
          </m:r>
          <m:d>
            <m:dPr>
              <m:ctrlPr>
                <w:rPr>
                  <w:rFonts w:ascii="Cambria Math" w:hAnsi="Cambria Math"/>
                  <w:i/>
                </w:rPr>
              </m:ctrlPr>
            </m:dPr>
            <m:e>
              <m:r>
                <w:rPr>
                  <w:rFonts w:ascii="Cambria Math" w:hAnsi="Cambria Math"/>
                </w:rPr>
                <m:t>Moderate Demand</m:t>
              </m:r>
            </m:e>
          </m:d>
          <m:r>
            <w:rPr>
              <w:rFonts w:ascii="Cambria Math" w:hAnsi="Cambria Math"/>
            </w:rPr>
            <m:t>=</m:t>
          </m:r>
          <m:r>
            <m:rPr>
              <m:sty m:val="p"/>
            </m:rPr>
            <w:rPr>
              <w:rStyle w:val="katex-mathml"/>
              <w:rFonts w:ascii="Cambria Math" w:hAnsi="Cambria Math"/>
            </w:rPr>
            <m:t xml:space="preserve">0.4×5.0=2.0 ($m) </m:t>
          </m:r>
        </m:oMath>
      </m:oMathPara>
    </w:p>
    <w:p w14:paraId="1E3A0863" w14:textId="2AA125A6" w:rsidR="0030317E" w:rsidRPr="00DE6DA3" w:rsidRDefault="0029544D" w:rsidP="0030317E">
      <w:pPr>
        <w:rPr>
          <w:rStyle w:val="katex-mathml"/>
        </w:rPr>
      </w:pPr>
      <w:r w:rsidRPr="0029544D">
        <w:t>However, the company will cancel the product launch if the market study forecasts poor sales. The EV of canceling the product due to poor response</w:t>
      </w:r>
      <w:r w:rsidR="00B67A09">
        <w:t>:</w:t>
      </w:r>
    </w:p>
    <w:p w14:paraId="336088D2" w14:textId="733F20E6" w:rsidR="0030317E" w:rsidRPr="00C34F4C" w:rsidRDefault="0030317E" w:rsidP="0030317E">
      <w:pPr>
        <w:rPr>
          <w:rStyle w:val="katex-mathml"/>
          <w:rFonts w:eastAsiaTheme="minorEastAsia"/>
        </w:rPr>
      </w:pPr>
      <m:oMathPara>
        <m:oMath>
          <m:r>
            <w:rPr>
              <w:rFonts w:ascii="Cambria Math" w:hAnsi="Cambria Math"/>
            </w:rPr>
            <m:t>EV</m:t>
          </m:r>
          <m:d>
            <m:dPr>
              <m:ctrlPr>
                <w:rPr>
                  <w:rFonts w:ascii="Cambria Math" w:hAnsi="Cambria Math"/>
                  <w:i/>
                </w:rPr>
              </m:ctrlPr>
            </m:dPr>
            <m:e>
              <m:r>
                <w:rPr>
                  <w:rFonts w:ascii="Cambria Math" w:hAnsi="Cambria Math"/>
                </w:rPr>
                <m:t>Poor Response, Cancel Product</m:t>
              </m:r>
            </m:e>
          </m:d>
          <m:r>
            <w:rPr>
              <w:rFonts w:ascii="Cambria Math" w:hAnsi="Cambria Math"/>
            </w:rPr>
            <m:t>=</m:t>
          </m:r>
          <m:r>
            <m:rPr>
              <m:sty m:val="p"/>
            </m:rPr>
            <w:rPr>
              <w:rStyle w:val="katex-mathml"/>
              <w:rFonts w:ascii="Cambria Math" w:hAnsi="Cambria Math"/>
            </w:rPr>
            <m:t xml:space="preserve">0.20×0=0 ($m) </m:t>
          </m:r>
        </m:oMath>
      </m:oMathPara>
    </w:p>
    <w:p w14:paraId="196DA560" w14:textId="69F1D645" w:rsidR="0030317E" w:rsidRDefault="0030317E" w:rsidP="0030317E">
      <w:pPr>
        <w:rPr>
          <w:rFonts w:eastAsiaTheme="minorEastAsia"/>
        </w:rPr>
      </w:pPr>
      <w:r>
        <w:lastRenderedPageBreak/>
        <w:t>The sequential decision tree sums these values, accounting for the survey expense</w:t>
      </w:r>
      <w:r w:rsidR="00B67A09">
        <w:t xml:space="preserve"> </w:t>
      </w:r>
      <w:r w:rsidR="0029544D">
        <w:t xml:space="preserve">of </w:t>
      </w:r>
      <w:r>
        <w:t>0.25 million:</w:t>
      </w:r>
    </w:p>
    <w:p w14:paraId="1E6E197C" w14:textId="4F319594" w:rsidR="0030317E" w:rsidRDefault="0030317E" w:rsidP="0030317E">
      <m:oMathPara>
        <m:oMath>
          <m:r>
            <w:rPr>
              <w:rFonts w:ascii="Cambria Math" w:hAnsi="Cambria Math"/>
            </w:rPr>
            <m:t>EV</m:t>
          </m:r>
          <m:d>
            <m:dPr>
              <m:ctrlPr>
                <w:rPr>
                  <w:rFonts w:ascii="Cambria Math" w:hAnsi="Cambria Math"/>
                  <w:i/>
                </w:rPr>
              </m:ctrlPr>
            </m:dPr>
            <m:e>
              <m:r>
                <w:rPr>
                  <w:rFonts w:ascii="Cambria Math" w:hAnsi="Cambria Math"/>
                </w:rPr>
                <m:t>Sequential Decision</m:t>
              </m:r>
            </m:e>
          </m:d>
          <m:r>
            <w:rPr>
              <w:rFonts w:ascii="Cambria Math" w:hAnsi="Cambria Math"/>
            </w:rPr>
            <m:t>=</m:t>
          </m:r>
          <m:r>
            <m:rPr>
              <m:sty m:val="p"/>
            </m:rPr>
            <w:rPr>
              <w:rStyle w:val="katex-mathml"/>
              <w:rFonts w:ascii="Cambria Math" w:hAnsi="Cambria Math"/>
            </w:rPr>
            <m:t xml:space="preserve">4.0+2.0 + 0 -0.25 (Survey Expense)= 5.75 ($m) </m:t>
          </m:r>
        </m:oMath>
      </m:oMathPara>
    </w:p>
    <w:p w14:paraId="172D80DD" w14:textId="30A29D81" w:rsidR="00DE6DA3" w:rsidRDefault="0029544D" w:rsidP="00DE6DA3">
      <w:r w:rsidRPr="0029544D">
        <w:t>Suppose the company opts to skip market research and launch in the face of market uncertainty. The product launch "decision node" leads to a chance node representing three market demand scenarios as follows</w:t>
      </w:r>
      <w:r w:rsidR="00B67A09">
        <w:t>:</w:t>
      </w:r>
    </w:p>
    <w:p w14:paraId="47B55E20" w14:textId="77777777" w:rsidR="00DE6DA3" w:rsidRPr="00A10E3B" w:rsidRDefault="00DE6DA3" w:rsidP="00DE6DA3">
      <w:pPr>
        <w:spacing w:before="0" w:after="0" w:line="240" w:lineRule="auto"/>
        <w:rPr>
          <w:rFonts w:ascii="Times New Roman" w:eastAsia="Times New Roman" w:hAnsi="Times New Roman" w:cs="Times New Roman"/>
          <w:kern w:val="0"/>
          <w:sz w:val="24"/>
          <w:szCs w:val="24"/>
          <w14:ligatures w14:val="none"/>
        </w:rPr>
      </w:pPr>
      <w:r w:rsidRPr="00A10E3B">
        <w:rPr>
          <w:rFonts w:ascii="Times New Roman" w:eastAsia="Times New Roman" w:hAnsi="Times New Roman" w:cs="Times New Roman"/>
          <w:noProof/>
          <w:kern w:val="0"/>
          <w:sz w:val="24"/>
          <w:szCs w:val="24"/>
          <w14:ligatures w14:val="none"/>
        </w:rPr>
        <w:drawing>
          <wp:inline distT="0" distB="0" distL="0" distR="0" wp14:anchorId="31A54DC6" wp14:editId="2DA583B7">
            <wp:extent cx="5943600" cy="1758950"/>
            <wp:effectExtent l="0" t="0" r="0" b="0"/>
            <wp:docPr id="1917987303" name="Picture 4" descr="A green and white do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55498" name="Picture 4" descr="A green and white dot on a black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8950"/>
                    </a:xfrm>
                    <a:prstGeom prst="rect">
                      <a:avLst/>
                    </a:prstGeom>
                    <a:noFill/>
                    <a:ln>
                      <a:noFill/>
                    </a:ln>
                  </pic:spPr>
                </pic:pic>
              </a:graphicData>
            </a:graphic>
          </wp:inline>
        </w:drawing>
      </w:r>
    </w:p>
    <w:p w14:paraId="13E8C22D" w14:textId="77777777" w:rsidR="00DE6DA3" w:rsidRPr="00A10E3B" w:rsidRDefault="00DE6DA3" w:rsidP="00DE6DA3">
      <w:pPr>
        <w:spacing w:before="0" w:after="0" w:line="240" w:lineRule="auto"/>
        <w:rPr>
          <w:rFonts w:ascii="Times New Roman" w:eastAsia="Times New Roman" w:hAnsi="Times New Roman" w:cs="Times New Roman"/>
          <w:kern w:val="0"/>
          <w:sz w:val="24"/>
          <w:szCs w:val="24"/>
          <w14:ligatures w14:val="none"/>
        </w:rPr>
      </w:pPr>
    </w:p>
    <w:p w14:paraId="0C80DDDE" w14:textId="0C409F80" w:rsidR="00DE6DA3" w:rsidRDefault="0029544D" w:rsidP="00DE6DA3">
      <w:r w:rsidRPr="0029544D">
        <w:t>This approach saves the cost of market study but exposes the company to market uncertainty. The expected value is</w:t>
      </w:r>
      <w:r w:rsidR="00DE6DA3">
        <w:t>:</w:t>
      </w:r>
    </w:p>
    <w:p w14:paraId="46CC53C8" w14:textId="7EE894D7" w:rsidR="00DE6DA3" w:rsidRDefault="00DE6DA3" w:rsidP="00DE6DA3">
      <w:pPr>
        <w:rPr>
          <w:rStyle w:val="mclose"/>
          <w:rFonts w:eastAsiaTheme="minorEastAsia"/>
        </w:rPr>
      </w:pPr>
      <m:oMathPara>
        <m:oMath>
          <m:r>
            <w:rPr>
              <w:rFonts w:ascii="Cambria Math" w:hAnsi="Cambria Math"/>
            </w:rPr>
            <m:t>EV</m:t>
          </m:r>
          <m:r>
            <m:rPr>
              <m:sty m:val="p"/>
            </m:rPr>
            <w:rPr>
              <w:rStyle w:val="mrel"/>
              <w:rFonts w:ascii="Cambria Math" w:hAnsi="Cambria Math"/>
            </w:rPr>
            <m:t>=</m:t>
          </m:r>
          <m:r>
            <w:rPr>
              <w:rStyle w:val="mopen"/>
              <w:rFonts w:ascii="Cambria Math" w:hAnsi="Cambria Math"/>
            </w:rPr>
            <m:t>(</m:t>
          </m:r>
          <m:r>
            <m:rPr>
              <m:sty m:val="p"/>
            </m:rPr>
            <w:rPr>
              <w:rStyle w:val="mord"/>
              <w:rFonts w:ascii="Cambria Math" w:hAnsi="Cambria Math"/>
            </w:rPr>
            <m:t>0.4</m:t>
          </m:r>
          <m:r>
            <m:rPr>
              <m:sty m:val="p"/>
            </m:rPr>
            <w:rPr>
              <w:rStyle w:val="mbin"/>
              <w:rFonts w:ascii="Cambria Math" w:hAnsi="Cambria Math"/>
            </w:rPr>
            <m:t>×</m:t>
          </m:r>
          <m:r>
            <m:rPr>
              <m:sty m:val="p"/>
            </m:rPr>
            <w:rPr>
              <w:rStyle w:val="mord"/>
              <w:rFonts w:ascii="Cambria Math" w:hAnsi="Cambria Math"/>
            </w:rPr>
            <m:t>10.0</m:t>
          </m:r>
          <m:r>
            <m:rPr>
              <m:sty m:val="p"/>
            </m:rPr>
            <w:rPr>
              <w:rStyle w:val="mclose"/>
              <w:rFonts w:ascii="Cambria Math" w:hAnsi="Cambria Math"/>
            </w:rPr>
            <m:t>)</m:t>
          </m:r>
          <m:r>
            <m:rPr>
              <m:sty m:val="p"/>
            </m:rPr>
            <w:rPr>
              <w:rStyle w:val="mbin"/>
              <w:rFonts w:ascii="Cambria Math" w:hAnsi="Cambria Math"/>
            </w:rPr>
            <m:t>+</m:t>
          </m:r>
          <m:r>
            <w:rPr>
              <w:rStyle w:val="mopen"/>
              <w:rFonts w:ascii="Cambria Math" w:hAnsi="Cambria Math"/>
            </w:rPr>
            <m:t>(</m:t>
          </m:r>
          <m:r>
            <m:rPr>
              <m:sty m:val="p"/>
            </m:rPr>
            <w:rPr>
              <w:rStyle w:val="mord"/>
              <w:rFonts w:ascii="Cambria Math" w:hAnsi="Cambria Math"/>
            </w:rPr>
            <m:t>0.4</m:t>
          </m:r>
          <m:r>
            <m:rPr>
              <m:sty m:val="p"/>
            </m:rPr>
            <w:rPr>
              <w:rStyle w:val="mbin"/>
              <w:rFonts w:ascii="Cambria Math" w:hAnsi="Cambria Math"/>
            </w:rPr>
            <m:t>×</m:t>
          </m:r>
          <m:r>
            <m:rPr>
              <m:sty m:val="p"/>
            </m:rPr>
            <w:rPr>
              <w:rStyle w:val="mord"/>
              <w:rFonts w:ascii="Cambria Math" w:hAnsi="Cambria Math"/>
            </w:rPr>
            <m:t>5.0</m:t>
          </m:r>
          <m:r>
            <m:rPr>
              <m:sty m:val="p"/>
            </m:rPr>
            <w:rPr>
              <w:rStyle w:val="mclose"/>
              <w:rFonts w:ascii="Cambria Math" w:hAnsi="Cambria Math"/>
            </w:rPr>
            <m:t>)</m:t>
          </m:r>
          <m:r>
            <m:rPr>
              <m:sty m:val="p"/>
            </m:rPr>
            <w:rPr>
              <w:rStyle w:val="mbin"/>
              <w:rFonts w:ascii="Cambria Math" w:hAnsi="Cambria Math"/>
            </w:rPr>
            <m:t>+</m:t>
          </m:r>
          <m:r>
            <w:rPr>
              <w:rStyle w:val="mopen"/>
              <w:rFonts w:ascii="Cambria Math" w:hAnsi="Cambria Math"/>
            </w:rPr>
            <m:t>(</m:t>
          </m:r>
          <m:r>
            <m:rPr>
              <m:sty m:val="p"/>
            </m:rPr>
            <w:rPr>
              <w:rStyle w:val="mord"/>
              <w:rFonts w:ascii="Cambria Math" w:hAnsi="Cambria Math"/>
            </w:rPr>
            <m:t>0.20</m:t>
          </m:r>
          <m:r>
            <m:rPr>
              <m:sty m:val="p"/>
            </m:rPr>
            <w:rPr>
              <w:rStyle w:val="mbin"/>
              <w:rFonts w:ascii="Cambria Math" w:hAnsi="Cambria Math"/>
            </w:rPr>
            <m:t>×</m:t>
          </m:r>
          <m:r>
            <w:rPr>
              <w:rStyle w:val="mopen"/>
              <w:rFonts w:ascii="Cambria Math" w:hAnsi="Cambria Math"/>
            </w:rPr>
            <m:t>(</m:t>
          </m:r>
          <m:r>
            <m:rPr>
              <m:sty m:val="p"/>
            </m:rPr>
            <w:rPr>
              <w:rStyle w:val="mord"/>
              <w:rFonts w:ascii="Cambria Math" w:hAnsi="Cambria Math"/>
            </w:rPr>
            <m:t>-6.0</m:t>
          </m:r>
          <m:r>
            <m:rPr>
              <m:sty m:val="p"/>
            </m:rPr>
            <w:rPr>
              <w:rStyle w:val="mclose"/>
              <w:rFonts w:ascii="Cambria Math" w:hAnsi="Cambria Math"/>
            </w:rPr>
            <m:t xml:space="preserve">))= 4.8 </m:t>
          </m:r>
          <m:r>
            <m:rPr>
              <m:sty m:val="p"/>
            </m:rPr>
            <w:rPr>
              <w:rStyle w:val="katex-mathml"/>
              <w:rFonts w:ascii="Cambria Math" w:hAnsi="Cambria Math"/>
            </w:rPr>
            <m:t xml:space="preserve">($m) </m:t>
          </m:r>
        </m:oMath>
      </m:oMathPara>
    </w:p>
    <w:p w14:paraId="69B01EF1" w14:textId="77777777" w:rsidR="0029544D" w:rsidRDefault="0029544D" w:rsidP="0029544D">
      <w:bookmarkStart w:id="69" w:name="_Hlk174620199"/>
      <w:r>
        <w:t>Comparing both approaches, conducting a market study followed by informed product launch decisions yields an expected value of $5.75 million—approximately 20% higher than launching the product without comprehensive market analysis. Thus, the value of market research justifies its cost.</w:t>
      </w:r>
    </w:p>
    <w:p w14:paraId="3D939ABB" w14:textId="3CD37B2F" w:rsidR="00DC610B" w:rsidRDefault="0029544D" w:rsidP="0029544D">
      <w:r>
        <w:t>On the other hand, the expected value difference between the two product survey decisions, 0.97 million, represents the value that the market study adds to the business</w:t>
      </w:r>
      <w:r w:rsidR="00DC610B">
        <w:t xml:space="preserve">. </w:t>
      </w:r>
    </w:p>
    <w:bookmarkEnd w:id="69"/>
    <w:p w14:paraId="24477244" w14:textId="77777777" w:rsidR="00D7153A" w:rsidRPr="00A10E3B" w:rsidRDefault="00D7153A" w:rsidP="00D7153A">
      <w:pPr>
        <w:spacing w:before="0" w:after="0" w:line="240" w:lineRule="auto"/>
        <w:rPr>
          <w:rFonts w:ascii="Times New Roman" w:eastAsia="Times New Roman" w:hAnsi="Times New Roman" w:cs="Times New Roman"/>
          <w:kern w:val="0"/>
          <w:sz w:val="24"/>
          <w:szCs w:val="24"/>
          <w14:ligatures w14:val="none"/>
        </w:rPr>
      </w:pPr>
      <w:r w:rsidRPr="00A10E3B">
        <w:rPr>
          <w:rFonts w:ascii="Times New Roman" w:eastAsia="Times New Roman" w:hAnsi="Times New Roman" w:cs="Times New Roman"/>
          <w:noProof/>
          <w:kern w:val="0"/>
          <w:sz w:val="24"/>
          <w:szCs w:val="24"/>
          <w14:ligatures w14:val="none"/>
        </w:rPr>
        <w:lastRenderedPageBreak/>
        <w:drawing>
          <wp:inline distT="0" distB="0" distL="0" distR="0" wp14:anchorId="4CFA400E" wp14:editId="37783074">
            <wp:extent cx="5286375" cy="4247738"/>
            <wp:effectExtent l="0" t="0" r="0" b="635"/>
            <wp:docPr id="2086829715" name="Picture 6"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6911" name="Picture 6" descr="A screenshot of a computer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8528" cy="4249468"/>
                    </a:xfrm>
                    <a:prstGeom prst="rect">
                      <a:avLst/>
                    </a:prstGeom>
                    <a:noFill/>
                    <a:ln>
                      <a:noFill/>
                    </a:ln>
                  </pic:spPr>
                </pic:pic>
              </a:graphicData>
            </a:graphic>
          </wp:inline>
        </w:drawing>
      </w:r>
    </w:p>
    <w:p w14:paraId="63F772E4" w14:textId="77777777" w:rsidR="00D7153A" w:rsidRPr="00A10E3B" w:rsidRDefault="00D7153A" w:rsidP="00D7153A">
      <w:pPr>
        <w:spacing w:before="0" w:after="0" w:line="240" w:lineRule="auto"/>
        <w:rPr>
          <w:rFonts w:ascii="Times New Roman" w:eastAsia="Times New Roman" w:hAnsi="Times New Roman" w:cs="Times New Roman"/>
          <w:kern w:val="0"/>
          <w:sz w:val="24"/>
          <w:szCs w:val="24"/>
          <w14:ligatures w14:val="none"/>
        </w:rPr>
      </w:pPr>
    </w:p>
    <w:p w14:paraId="34D1936B" w14:textId="77777777" w:rsidR="00D7153A" w:rsidRDefault="00D7153A" w:rsidP="00D7153A"/>
    <w:p w14:paraId="671135DA" w14:textId="18297CC3" w:rsidR="00D7153A" w:rsidRDefault="00D7153A" w:rsidP="00D7153A">
      <w:pPr>
        <w:pStyle w:val="Heading2"/>
      </w:pPr>
      <w:bookmarkStart w:id="70" w:name="_Toc191026939"/>
      <w:r>
        <w:t>Advantages of Decision Trees in Decision-Making</w:t>
      </w:r>
      <w:bookmarkEnd w:id="70"/>
    </w:p>
    <w:p w14:paraId="6C9A018A" w14:textId="77777777" w:rsidR="0029544D" w:rsidRDefault="0029544D" w:rsidP="0029544D">
      <w:r>
        <w:t>The Decision Tree Method stands out as a powerful tool for decision-making under uncertainty due to several key advantages:</w:t>
      </w:r>
    </w:p>
    <w:p w14:paraId="6B3A04D0" w14:textId="77777777" w:rsidR="0029544D" w:rsidRDefault="0029544D" w:rsidP="00D81274">
      <w:pPr>
        <w:pStyle w:val="ListParagraph"/>
        <w:numPr>
          <w:ilvl w:val="0"/>
          <w:numId w:val="6"/>
        </w:numPr>
      </w:pPr>
      <w:r>
        <w:t>Transparency: Decision trees offer a clear, visual representation of decision processes, making it easier to understand and communicate complex decisions.</w:t>
      </w:r>
    </w:p>
    <w:p w14:paraId="2BD79F2B" w14:textId="77777777" w:rsidR="0029544D" w:rsidRDefault="0029544D" w:rsidP="00D81274">
      <w:pPr>
        <w:pStyle w:val="ListParagraph"/>
        <w:numPr>
          <w:ilvl w:val="0"/>
          <w:numId w:val="6"/>
        </w:numPr>
      </w:pPr>
      <w:r>
        <w:t>Structured Evaluation: Decision trees provide a systematic framework for evaluating multiple options and scenarios, ensuring that all possibilities are considered.</w:t>
      </w:r>
    </w:p>
    <w:p w14:paraId="0A01F4FD" w14:textId="77777777" w:rsidR="0029544D" w:rsidRDefault="0029544D" w:rsidP="00D81274">
      <w:pPr>
        <w:pStyle w:val="ListParagraph"/>
        <w:numPr>
          <w:ilvl w:val="0"/>
          <w:numId w:val="6"/>
        </w:numPr>
      </w:pPr>
      <w:r>
        <w:t>Enhanced Collaboration: Decision trees' visual nature facilitates collaboration among team members, enabling them to identify the best course of action.</w:t>
      </w:r>
    </w:p>
    <w:p w14:paraId="08204283" w14:textId="77777777" w:rsidR="0029544D" w:rsidRDefault="0029544D" w:rsidP="00D81274">
      <w:pPr>
        <w:pStyle w:val="ListParagraph"/>
        <w:numPr>
          <w:ilvl w:val="0"/>
          <w:numId w:val="6"/>
        </w:numPr>
      </w:pPr>
      <w:r>
        <w:lastRenderedPageBreak/>
        <w:t>Flexibility: Decision trees can accommodate changes in assumptions or probabilities, allowing businesses to adapt their decisions as new information becomes available.</w:t>
      </w:r>
    </w:p>
    <w:p w14:paraId="58A462B2" w14:textId="77777777" w:rsidR="0029544D" w:rsidRDefault="0029544D" w:rsidP="00D81274">
      <w:pPr>
        <w:pStyle w:val="ListParagraph"/>
        <w:numPr>
          <w:ilvl w:val="0"/>
          <w:numId w:val="6"/>
        </w:numPr>
      </w:pPr>
      <w:r>
        <w:t>Value of Information: Decision trees help quantify the value of additional information, guiding decisions on whether to invest in further research or analysis.</w:t>
      </w:r>
    </w:p>
    <w:p w14:paraId="753272A8" w14:textId="321AAA85" w:rsidR="00D7153A" w:rsidRDefault="0029544D" w:rsidP="00662D61">
      <w:r>
        <w:t>In summary, decision trees are a practical and effective tool for making decisions under uncertainty. By breaking down complex decisions into manageable components and visually representing them, decision trees help businesses navigate uncertainty with greater confidence and clarity. Whether making a one-time investment decision or managing a complex, multi-stage project, decision trees offer a structured approach to identifying the best strategy in uncertain environments</w:t>
      </w:r>
      <w:r w:rsidR="00662D61">
        <w:t>.</w:t>
      </w:r>
    </w:p>
    <w:p w14:paraId="2B657A9D" w14:textId="77777777" w:rsidR="00D7153A" w:rsidRDefault="00D7153A" w:rsidP="00D7153A"/>
    <w:p w14:paraId="631426A7" w14:textId="4F25C385" w:rsidR="00441082" w:rsidRPr="0029544D" w:rsidRDefault="00D7153A" w:rsidP="00441082">
      <w:pPr>
        <w:pStyle w:val="Heading2"/>
      </w:pPr>
      <w:bookmarkStart w:id="71" w:name="_Toc191026940"/>
      <w:r w:rsidRPr="0029544D">
        <w:t>Incorporat</w:t>
      </w:r>
      <w:r w:rsidR="009560DB">
        <w:t>e</w:t>
      </w:r>
      <w:r w:rsidRPr="0029544D">
        <w:t xml:space="preserve"> Human Risk</w:t>
      </w:r>
      <w:r w:rsidR="009560DB">
        <w:t xml:space="preserve"> T</w:t>
      </w:r>
      <w:r w:rsidR="0029544D">
        <w:t>olerance</w:t>
      </w:r>
      <w:r w:rsidRPr="0029544D">
        <w:t xml:space="preserve"> Psychology into Decision Tree Analysis</w:t>
      </w:r>
      <w:bookmarkEnd w:id="71"/>
    </w:p>
    <w:p w14:paraId="701E8DDA" w14:textId="77777777" w:rsidR="0029544D" w:rsidRDefault="0029544D" w:rsidP="0029544D">
      <w:r>
        <w:t>While data analytics provides a solid foundation for decision-making, human psychology—particularly risk tolerance—still plays a significant role, especially in decisions with substantial consequences beyond mere financial returns. EV-based decision tree analysis uses objective data to map out potential outcomes and their probabilities. However, integrating human risk-taking behaviors into this framework offers a powerful way to blend data-driven insights with the emotional aspects of decision-making.</w:t>
      </w:r>
    </w:p>
    <w:p w14:paraId="5F34CEE4" w14:textId="77777777" w:rsidR="0029544D" w:rsidRDefault="0029544D" w:rsidP="0029544D">
      <w:r>
        <w:t>Prudent decision-makers should understand both their risk profile and that of their team. This awareness allows them to tailor strategies that align with their organization's goals and risk culture, ultimately fostering a more strategic approach to risk management. By recognizing the influence of psychology on decision-making, leaders can better anticipate how different stakeholders might respond to various scenarios, enhancing the overall effectiveness of their decisions.</w:t>
      </w:r>
    </w:p>
    <w:p w14:paraId="07F1F3D9" w14:textId="77777777" w:rsidR="0029544D" w:rsidRDefault="0029544D" w:rsidP="0029544D">
      <w:r>
        <w:t xml:space="preserve">Example Scenario: Imagine two companies facing an investment choice: launch a new product or upgrade an existing one. The latest product has a 70% chance of generating $10 million and a 30% </w:t>
      </w:r>
      <w:r>
        <w:lastRenderedPageBreak/>
        <w:t>chance of losing $5 million, resulting in an expected value of $5.5 million. Conversely, upgrading the existing product guarantees a $5 million payoff.</w:t>
      </w:r>
    </w:p>
    <w:p w14:paraId="68247856" w14:textId="77777777" w:rsidR="0029544D" w:rsidRDefault="0029544D" w:rsidP="0029544D">
      <w:r>
        <w:t>For Company A, characterized by an entrepreneurial culture, the decision-maker seeks new growth opportunities. In contrast, Company B, with a conservative culture, values stability and predictability. Despite using the same decision trees to analyze the uncertainty, these decision-makers will likely choose differently due to their distinct risk appetites and strategic goals.</w:t>
      </w:r>
    </w:p>
    <w:p w14:paraId="5A297766" w14:textId="77777777" w:rsidR="0029544D" w:rsidRDefault="0029544D" w:rsidP="0029544D">
      <w:r>
        <w:t>This example illustrates how decision tree analysis can lead to different decisions even under identical conditions when combined with an understanding of human psychology. By integrating objective data and subjective risk preferences, decision-makers can make analytically sound choices that align with their organization's psychological realities.</w:t>
      </w:r>
    </w:p>
    <w:p w14:paraId="21C4934E" w14:textId="03D65D13" w:rsidR="00421C17" w:rsidRDefault="0029544D" w:rsidP="0029544D">
      <w:r>
        <w:t>Individuals display a range of attitudes towards risk, significantly influencing their decision-making processes. These attitudes typically fall into three primary categories: risk-averse, risk-neutral, and risk-seeking, each impacting choices in distinct ways. Evaluating these behaviors using certainty-equivalent value is necessary to effectively incorporate human risk-taking preferences into decision trees quantitatively</w:t>
      </w:r>
      <w:r w:rsidR="00421C17">
        <w:t>.</w:t>
      </w:r>
    </w:p>
    <w:p w14:paraId="641AFDD7" w14:textId="1467597F" w:rsidR="00421C17" w:rsidRDefault="00421C17" w:rsidP="0029544D">
      <w:pPr>
        <w:pStyle w:val="Heading3"/>
      </w:pPr>
      <w:r>
        <w:t>Certainty-</w:t>
      </w:r>
      <w:r w:rsidR="006C27C2">
        <w:t>E</w:t>
      </w:r>
      <w:r>
        <w:t>quivalent Value</w:t>
      </w:r>
    </w:p>
    <w:p w14:paraId="744AD4E5" w14:textId="280FBF66" w:rsidR="00421C17" w:rsidRDefault="0029544D" w:rsidP="00421C17">
      <w:r w:rsidRPr="0029544D">
        <w:t xml:space="preserve">The certainty-equivalent value represents the guaranteed return that an individual would accept rather than taking a chance on a higher but uncertain return. For example, if a decision-maker prefers a $5 million income from upgrading an existing product over the risk of possibly losing money to achieve a $5.5 million expected profit from a new product, the certainty-equivalent value of the uncertain option is $5 million. This measure quantitatively assesses individual risk preferences, effectively linking </w:t>
      </w:r>
      <w:r w:rsidR="009560DB">
        <w:t xml:space="preserve">risk tolerance </w:t>
      </w:r>
      <w:r w:rsidRPr="0029544D">
        <w:t xml:space="preserve">behaviors with data analytics. By incorporating this evaluation into decision-making processes, decision-makers can align their choices with the psychological realities of those involved. Businesses can </w:t>
      </w:r>
      <w:r w:rsidRPr="0029544D">
        <w:lastRenderedPageBreak/>
        <w:t>formulate a risk culture that aligns with their strategic objectives—whether pursuing aggressive growth or maintaining stability—within their data-driven decision-making frameworks</w:t>
      </w:r>
      <w:r w:rsidR="00143F89" w:rsidRPr="00143F89">
        <w:t>.</w:t>
      </w:r>
    </w:p>
    <w:p w14:paraId="7601B86E" w14:textId="022C46B7" w:rsidR="00143F89" w:rsidRPr="0029544D" w:rsidRDefault="00143F89" w:rsidP="0029544D">
      <w:pPr>
        <w:rPr>
          <w:b/>
          <w:bCs/>
        </w:rPr>
      </w:pPr>
      <w:r w:rsidRPr="0029544D">
        <w:rPr>
          <w:b/>
          <w:bCs/>
        </w:rPr>
        <w:t>Risk-</w:t>
      </w:r>
      <w:r w:rsidR="0029544D" w:rsidRPr="0029544D">
        <w:rPr>
          <w:b/>
          <w:bCs/>
        </w:rPr>
        <w:t>a</w:t>
      </w:r>
      <w:r w:rsidRPr="0029544D">
        <w:rPr>
          <w:b/>
          <w:bCs/>
        </w:rPr>
        <w:t>verse</w:t>
      </w:r>
    </w:p>
    <w:p w14:paraId="400F91C5" w14:textId="01D5C0D6" w:rsidR="00143F89" w:rsidRPr="00143F89" w:rsidRDefault="0029544D" w:rsidP="00143F89">
      <w:r w:rsidRPr="0029544D">
        <w:t>Most individuals are risk-averse, preferring to avoid uncertainty. These people's certainty-equivalent value is less than the expected value of an uncertain option. For example, a risk-averse manager is likely to upgrade an existing product for a guaranteed $5 million rather than risk developing a new product that could yield an expected value of $5.5 million but also has a significant chance of failure. Here, the certainty-equivalent value of the uncertain option is less than the expected value, reflecting a preference for stability. Health and safety professionals often exemplify this behavior, prioritizing minimizing risk, even at the expense of potential gains</w:t>
      </w:r>
      <w:r w:rsidR="00143F89" w:rsidRPr="00143F89">
        <w:t>.</w:t>
      </w:r>
    </w:p>
    <w:p w14:paraId="3DFA76C8" w14:textId="6780817D" w:rsidR="00143F89" w:rsidRPr="0029544D" w:rsidRDefault="00143F89" w:rsidP="0029544D">
      <w:pPr>
        <w:rPr>
          <w:b/>
          <w:bCs/>
        </w:rPr>
      </w:pPr>
      <w:r w:rsidRPr="0029544D">
        <w:rPr>
          <w:b/>
          <w:bCs/>
        </w:rPr>
        <w:t>Risk-</w:t>
      </w:r>
      <w:r w:rsidR="0029544D" w:rsidRPr="0029544D">
        <w:rPr>
          <w:b/>
          <w:bCs/>
        </w:rPr>
        <w:t>n</w:t>
      </w:r>
      <w:r w:rsidRPr="0029544D">
        <w:rPr>
          <w:b/>
          <w:bCs/>
        </w:rPr>
        <w:t>eutral</w:t>
      </w:r>
    </w:p>
    <w:p w14:paraId="6E856D80" w14:textId="6CB27347" w:rsidR="00143F89" w:rsidRPr="00143F89" w:rsidRDefault="0029544D" w:rsidP="00143F89">
      <w:r w:rsidRPr="0029544D">
        <w:t>Risk-neutral individuals are indifferent to risk. Their primary focus is on the expected return of an investment, regardless of the uncertainty involved. For them, the certainty-equivalent value equals the expected value of an uncertain event. A risk-neutral manager evaluates options based on their potential returns without factoring in the associated risks. This objective approach maximizes expected value, making decisions straightforward and often financially optimal</w:t>
      </w:r>
      <w:r w:rsidR="00143F89" w:rsidRPr="00143F89">
        <w:t>.</w:t>
      </w:r>
    </w:p>
    <w:p w14:paraId="55D16E31" w14:textId="53D0AD1D" w:rsidR="00143F89" w:rsidRPr="0029544D" w:rsidRDefault="00143F89" w:rsidP="0029544D">
      <w:pPr>
        <w:rPr>
          <w:b/>
          <w:bCs/>
        </w:rPr>
      </w:pPr>
      <w:r w:rsidRPr="0029544D">
        <w:rPr>
          <w:b/>
          <w:bCs/>
        </w:rPr>
        <w:t>Risk-</w:t>
      </w:r>
      <w:r w:rsidR="0029544D" w:rsidRPr="0029544D">
        <w:rPr>
          <w:b/>
          <w:bCs/>
        </w:rPr>
        <w:t>s</w:t>
      </w:r>
      <w:r w:rsidRPr="0029544D">
        <w:rPr>
          <w:b/>
          <w:bCs/>
        </w:rPr>
        <w:t>eeking</w:t>
      </w:r>
    </w:p>
    <w:p w14:paraId="0BF40099" w14:textId="73D730D8" w:rsidR="00421C17" w:rsidRDefault="0029544D" w:rsidP="0029544D">
      <w:r>
        <w:t xml:space="preserve">Risk-loving individuals prefer taking risks. They will choose investments with higher uncertainty for the thrill and potentially higher rewards, even if the expected returns are lower. For example, suppose the R&amp;D department pitches a proposal for a disruptive product with a 50% chance of generating $15 million and a 50% chance of losing $6 million. In that case, a risk-seeking manager might opt for the disruptive opportunity even though its expected value ($4.5 million) is less than the guaranteed option of $5 </w:t>
      </w:r>
      <w:r>
        <w:lastRenderedPageBreak/>
        <w:t>million. In such cases, the certainty-equivalent value is greater than the expected value of the uncertain event, reflecting an optimistic view of risk and potential high rewards over stability</w:t>
      </w:r>
      <w:r w:rsidR="00421C17">
        <w:t>.</w:t>
      </w:r>
    </w:p>
    <w:p w14:paraId="027BDF25" w14:textId="03B9F1A3" w:rsidR="00A32F3C" w:rsidRDefault="00A32F3C" w:rsidP="00A32F3C">
      <w:pPr>
        <w:pStyle w:val="Heading3"/>
      </w:pPr>
      <w:r w:rsidRPr="00A32F3C">
        <w:t>Understand Organizational Stakeholders</w:t>
      </w:r>
      <w:r w:rsidR="0029544D">
        <w:t>’</w:t>
      </w:r>
      <w:r w:rsidRPr="00A32F3C">
        <w:t xml:space="preserve"> Risk</w:t>
      </w:r>
      <w:r w:rsidR="009560DB">
        <w:t xml:space="preserve"> T</w:t>
      </w:r>
      <w:r w:rsidRPr="00A32F3C">
        <w:t xml:space="preserve">olerance Variations </w:t>
      </w:r>
    </w:p>
    <w:p w14:paraId="6E98FE27" w14:textId="1B034FE8" w:rsidR="00A32F3C" w:rsidRDefault="0029544D" w:rsidP="00A32F3C">
      <w:r w:rsidRPr="0029544D">
        <w:t>While an organization's risk culture is consistent with its strategy and operations, individuals' tolerance for risk varies widely based on their roles, responsibilities, performance metrics, and compensation structures. These variations harmonize diverse perspectives for organizational success, as each group's risk profile influences decision-making processes and overall business outcomes</w:t>
      </w:r>
      <w:r w:rsidR="00A32F3C">
        <w:t>.</w:t>
      </w:r>
    </w:p>
    <w:p w14:paraId="7E5B1FB7" w14:textId="453A6A93" w:rsidR="00A32F3C" w:rsidRDefault="00A32F3C" w:rsidP="00A32F3C">
      <w:pPr>
        <w:pStyle w:val="Heading3"/>
      </w:pPr>
      <w:r>
        <w:t>Risk</w:t>
      </w:r>
      <w:r w:rsidR="0029544D">
        <w:t>-</w:t>
      </w:r>
      <w:r w:rsidR="006C27C2">
        <w:t>S</w:t>
      </w:r>
      <w:r>
        <w:t>eekers</w:t>
      </w:r>
      <w:r w:rsidR="0029544D">
        <w:t>:</w:t>
      </w:r>
      <w:r>
        <w:t xml:space="preserve"> Investors and Executives</w:t>
      </w:r>
    </w:p>
    <w:p w14:paraId="08DCB1EF" w14:textId="0DEB22B6" w:rsidR="00A32F3C" w:rsidRDefault="0029544D" w:rsidP="00A32F3C">
      <w:r w:rsidRPr="0029544D">
        <w:t>Institutional investors, including venture capitalists and private equity firms, often exhibit a high tolerance for risk. They seek substantial returns on their investments and are typically willing to accept higher risks to achieve these gains. Entrepreneurs and top executives also tend to be risk-seekers. Driven to meet investor expectations and achieve significant financial returns, they often pursue bold, high-risk projects. Executive compensation packages, particularly those including performance-vested stock options, further incentivize risk-taking behaviors</w:t>
      </w:r>
      <w:r w:rsidR="00A32F3C">
        <w:t>.</w:t>
      </w:r>
    </w:p>
    <w:p w14:paraId="23A2F8DE" w14:textId="3712FE81" w:rsidR="00A32F3C" w:rsidRDefault="00A32F3C" w:rsidP="00A32F3C">
      <w:pPr>
        <w:pStyle w:val="Heading3"/>
      </w:pPr>
      <w:r>
        <w:t>Varied Risk Preferences</w:t>
      </w:r>
      <w:r w:rsidR="0029544D">
        <w:t>:</w:t>
      </w:r>
      <w:r>
        <w:t xml:space="preserve"> Mid-</w:t>
      </w:r>
      <w:r w:rsidR="006C27C2">
        <w:t>L</w:t>
      </w:r>
      <w:r>
        <w:t>evel Managers</w:t>
      </w:r>
    </w:p>
    <w:p w14:paraId="3E3231FE" w14:textId="356ED71E" w:rsidR="00A32F3C" w:rsidRDefault="0029544D" w:rsidP="00A32F3C">
      <w:r w:rsidRPr="0029544D">
        <w:t xml:space="preserve">Product managers and portfolio managers display a range of risk preferences. Their attitudes towards risk are influenced by personal </w:t>
      </w:r>
      <w:r w:rsidR="009560DB">
        <w:t xml:space="preserve">risk tolerance </w:t>
      </w:r>
      <w:r w:rsidRPr="0029544D">
        <w:t>and career aspirations. Ambitious managers with a high tolerance for risk may favor aggressive, innovative strategies, while those who are more risk-averse opt for safer, more conservative approaches. This variation allows organizations to balance innovative initiatives with stability, depending on the individual manager's inclinations and the specific demands of their business responsibilities</w:t>
      </w:r>
      <w:r w:rsidR="00A32F3C">
        <w:t>.</w:t>
      </w:r>
    </w:p>
    <w:p w14:paraId="7D3DCC93" w14:textId="00FC7C00" w:rsidR="00A32F3C" w:rsidRDefault="00A32F3C" w:rsidP="00A32F3C">
      <w:pPr>
        <w:pStyle w:val="Heading3"/>
      </w:pPr>
      <w:r>
        <w:lastRenderedPageBreak/>
        <w:t>Risk</w:t>
      </w:r>
      <w:r w:rsidR="0029544D">
        <w:t>-</w:t>
      </w:r>
      <w:r w:rsidR="006C27C2">
        <w:t>A</w:t>
      </w:r>
      <w:r>
        <w:t>voider</w:t>
      </w:r>
      <w:r w:rsidR="0029544D">
        <w:t>s:</w:t>
      </w:r>
      <w:r>
        <w:t xml:space="preserve"> Employees and Suppliers</w:t>
      </w:r>
    </w:p>
    <w:p w14:paraId="53AC9B9C" w14:textId="216CCDD6" w:rsidR="00A32F3C" w:rsidRDefault="00B90AEC" w:rsidP="00A32F3C">
      <w:r w:rsidRPr="00B90AEC">
        <w:t>Many employees, particularly those in stable industries like oil and gas or healthcare, are risk-averse. These individuals prioritize job security and are less likely to support high-risk ventures that could jeopardize their employment. However, employees in dynamic, fast-growing sectors such as technology or finance may be more open to risk, viewing it as a path to career advancement and greater rewards. Service suppliers, another risk-averse group, prioritize fulfilling their commitments reliably. They avoid decisions that could lead to missing customer expectations, adhering to the principle of "promise low and deliver high."</w:t>
      </w:r>
    </w:p>
    <w:p w14:paraId="1FDA8458" w14:textId="01908E96" w:rsidR="00A32F3C" w:rsidRDefault="00A32F3C" w:rsidP="00A32F3C">
      <w:pPr>
        <w:pStyle w:val="Heading3"/>
      </w:pPr>
      <w:r>
        <w:t>Risk</w:t>
      </w:r>
      <w:r w:rsidR="00B90AEC">
        <w:t>-</w:t>
      </w:r>
      <w:r w:rsidR="006C27C2">
        <w:t>N</w:t>
      </w:r>
      <w:r>
        <w:t>eutral</w:t>
      </w:r>
      <w:r w:rsidR="00B90AEC">
        <w:t>:</w:t>
      </w:r>
      <w:r>
        <w:t xml:space="preserve"> Customers</w:t>
      </w:r>
    </w:p>
    <w:p w14:paraId="7D959F8D" w14:textId="77777777" w:rsidR="00B90AEC" w:rsidRDefault="00B90AEC" w:rsidP="00B90AEC">
      <w:r>
        <w:t>Customers generally exhibit a risk-neutral stance. Their primary concern is obtaining quality products from competitive suppliers at reasonable prices. Customers make purchasing decisions based on expected payoffs without taking unnecessary risks. They also utilize purchase contracts to mitigate potential risks, ensuring their interests are protected.</w:t>
      </w:r>
    </w:p>
    <w:p w14:paraId="405BDF3C" w14:textId="384346FC" w:rsidR="00D7153A" w:rsidRDefault="00B90AEC" w:rsidP="00B90AEC">
      <w:r>
        <w:t>The risk attitudes of stakeholders on the value chain of an organization can be broadly categorized as follows</w:t>
      </w:r>
      <w:r w:rsidR="00D7153A">
        <w:t>:</w:t>
      </w:r>
    </w:p>
    <w:tbl>
      <w:tblPr>
        <w:tblW w:w="9445" w:type="dxa"/>
        <w:tblCellMar>
          <w:top w:w="72" w:type="dxa"/>
          <w:bottom w:w="72" w:type="dxa"/>
        </w:tblCellMar>
        <w:tblLook w:val="04A0" w:firstRow="1" w:lastRow="0" w:firstColumn="1" w:lastColumn="0" w:noHBand="0" w:noVBand="1"/>
      </w:tblPr>
      <w:tblGrid>
        <w:gridCol w:w="1975"/>
        <w:gridCol w:w="1710"/>
        <w:gridCol w:w="5760"/>
      </w:tblGrid>
      <w:tr w:rsidR="00D7153A" w:rsidRPr="004E6474" w14:paraId="7E779663" w14:textId="77777777" w:rsidTr="004E534D">
        <w:trPr>
          <w:trHeight w:val="20"/>
        </w:trPr>
        <w:tc>
          <w:tcPr>
            <w:tcW w:w="1975" w:type="dxa"/>
            <w:tcBorders>
              <w:top w:val="single" w:sz="4" w:space="0" w:color="0F9ED5"/>
              <w:left w:val="single" w:sz="4" w:space="0" w:color="0F9ED5"/>
              <w:bottom w:val="nil"/>
              <w:right w:val="nil"/>
            </w:tcBorders>
            <w:shd w:val="clear" w:color="0F9ED5" w:fill="0F9ED5"/>
            <w:vAlign w:val="center"/>
            <w:hideMark/>
          </w:tcPr>
          <w:p w14:paraId="1F8FCDE7" w14:textId="77777777" w:rsidR="00D7153A" w:rsidRPr="004E6474" w:rsidRDefault="00D7153A" w:rsidP="004E534D">
            <w:pPr>
              <w:spacing w:before="0" w:after="0" w:line="240" w:lineRule="auto"/>
              <w:jc w:val="center"/>
              <w:rPr>
                <w:rFonts w:eastAsia="Times New Roman" w:cstheme="minorHAnsi"/>
                <w:b/>
                <w:bCs/>
                <w:color w:val="FFFFFF"/>
                <w:kern w:val="0"/>
                <w14:ligatures w14:val="none"/>
              </w:rPr>
            </w:pPr>
            <w:r w:rsidRPr="004E6474">
              <w:rPr>
                <w:rFonts w:eastAsia="Times New Roman" w:cstheme="minorHAnsi"/>
                <w:b/>
                <w:bCs/>
                <w:color w:val="FFFFFF"/>
                <w:kern w:val="0"/>
                <w14:ligatures w14:val="none"/>
              </w:rPr>
              <w:t>Stakeholders</w:t>
            </w:r>
          </w:p>
        </w:tc>
        <w:tc>
          <w:tcPr>
            <w:tcW w:w="1710" w:type="dxa"/>
            <w:tcBorders>
              <w:top w:val="single" w:sz="4" w:space="0" w:color="0F9ED5"/>
              <w:left w:val="nil"/>
              <w:bottom w:val="nil"/>
              <w:right w:val="nil"/>
            </w:tcBorders>
            <w:shd w:val="clear" w:color="0F9ED5" w:fill="0F9ED5"/>
            <w:vAlign w:val="center"/>
            <w:hideMark/>
          </w:tcPr>
          <w:p w14:paraId="6ADAC6DF" w14:textId="77777777" w:rsidR="00D7153A" w:rsidRPr="004E6474" w:rsidRDefault="00D7153A" w:rsidP="004E534D">
            <w:pPr>
              <w:spacing w:before="0" w:after="0" w:line="240" w:lineRule="auto"/>
              <w:jc w:val="center"/>
              <w:rPr>
                <w:rFonts w:eastAsia="Times New Roman" w:cstheme="minorHAnsi"/>
                <w:b/>
                <w:bCs/>
                <w:color w:val="FFFFFF"/>
                <w:kern w:val="0"/>
                <w14:ligatures w14:val="none"/>
              </w:rPr>
            </w:pPr>
            <w:r w:rsidRPr="004E6474">
              <w:rPr>
                <w:rFonts w:eastAsia="Times New Roman" w:cstheme="minorHAnsi"/>
                <w:b/>
                <w:bCs/>
                <w:color w:val="FFFFFF"/>
                <w:kern w:val="0"/>
                <w14:ligatures w14:val="none"/>
              </w:rPr>
              <w:t>Risk Attitude</w:t>
            </w:r>
          </w:p>
        </w:tc>
        <w:tc>
          <w:tcPr>
            <w:tcW w:w="5760" w:type="dxa"/>
            <w:tcBorders>
              <w:top w:val="single" w:sz="4" w:space="0" w:color="0F9ED5"/>
              <w:left w:val="nil"/>
              <w:bottom w:val="nil"/>
              <w:right w:val="single" w:sz="4" w:space="0" w:color="0F9ED5"/>
            </w:tcBorders>
            <w:shd w:val="clear" w:color="0F9ED5" w:fill="0F9ED5"/>
            <w:vAlign w:val="center"/>
            <w:hideMark/>
          </w:tcPr>
          <w:p w14:paraId="660C3C71" w14:textId="77777777" w:rsidR="00D7153A" w:rsidRPr="004E6474" w:rsidRDefault="00D7153A" w:rsidP="004E534D">
            <w:pPr>
              <w:spacing w:before="0" w:after="0" w:line="240" w:lineRule="auto"/>
              <w:jc w:val="center"/>
              <w:rPr>
                <w:rFonts w:eastAsia="Times New Roman" w:cstheme="minorHAnsi"/>
                <w:b/>
                <w:bCs/>
                <w:color w:val="FFFFFF"/>
                <w:kern w:val="0"/>
                <w14:ligatures w14:val="none"/>
              </w:rPr>
            </w:pPr>
            <w:r w:rsidRPr="004E6474">
              <w:rPr>
                <w:rFonts w:eastAsia="Times New Roman" w:cstheme="minorHAnsi"/>
                <w:b/>
                <w:bCs/>
                <w:color w:val="FFFFFF"/>
                <w:kern w:val="0"/>
                <w14:ligatures w14:val="none"/>
              </w:rPr>
              <w:t>Explanation</w:t>
            </w:r>
          </w:p>
        </w:tc>
      </w:tr>
      <w:tr w:rsidR="00D7153A" w:rsidRPr="004E6474" w14:paraId="4C7A4000" w14:textId="77777777" w:rsidTr="004E534D">
        <w:trPr>
          <w:trHeight w:val="20"/>
        </w:trPr>
        <w:tc>
          <w:tcPr>
            <w:tcW w:w="1975" w:type="dxa"/>
            <w:tcBorders>
              <w:top w:val="single" w:sz="4" w:space="0" w:color="0F9ED5"/>
              <w:left w:val="single" w:sz="4" w:space="0" w:color="0F9ED5"/>
              <w:bottom w:val="nil"/>
              <w:right w:val="nil"/>
            </w:tcBorders>
            <w:shd w:val="clear" w:color="auto" w:fill="auto"/>
            <w:vAlign w:val="center"/>
            <w:hideMark/>
          </w:tcPr>
          <w:p w14:paraId="4CD13DEA"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Institutional Investors</w:t>
            </w:r>
          </w:p>
        </w:tc>
        <w:tc>
          <w:tcPr>
            <w:tcW w:w="1710" w:type="dxa"/>
            <w:tcBorders>
              <w:top w:val="single" w:sz="4" w:space="0" w:color="0F9ED5"/>
              <w:left w:val="nil"/>
              <w:bottom w:val="nil"/>
              <w:right w:val="nil"/>
            </w:tcBorders>
            <w:shd w:val="clear" w:color="auto" w:fill="auto"/>
            <w:vAlign w:val="center"/>
            <w:hideMark/>
          </w:tcPr>
          <w:p w14:paraId="12410DDB"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Risk Seeker</w:t>
            </w:r>
          </w:p>
        </w:tc>
        <w:tc>
          <w:tcPr>
            <w:tcW w:w="5760" w:type="dxa"/>
            <w:tcBorders>
              <w:top w:val="single" w:sz="4" w:space="0" w:color="0F9ED5"/>
              <w:left w:val="nil"/>
              <w:bottom w:val="nil"/>
              <w:right w:val="single" w:sz="4" w:space="0" w:color="0F9ED5"/>
            </w:tcBorders>
            <w:shd w:val="clear" w:color="auto" w:fill="auto"/>
            <w:vAlign w:val="center"/>
            <w:hideMark/>
          </w:tcPr>
          <w:p w14:paraId="64BD47D9"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Aim for high returns, willing to accept significant risks.</w:t>
            </w:r>
          </w:p>
        </w:tc>
      </w:tr>
      <w:tr w:rsidR="00D7153A" w:rsidRPr="004E6474" w14:paraId="198F3C15" w14:textId="77777777" w:rsidTr="004E534D">
        <w:trPr>
          <w:trHeight w:val="20"/>
        </w:trPr>
        <w:tc>
          <w:tcPr>
            <w:tcW w:w="1975" w:type="dxa"/>
            <w:tcBorders>
              <w:top w:val="single" w:sz="4" w:space="0" w:color="0F9ED5"/>
              <w:left w:val="single" w:sz="4" w:space="0" w:color="0F9ED5"/>
              <w:bottom w:val="nil"/>
              <w:right w:val="nil"/>
            </w:tcBorders>
            <w:shd w:val="clear" w:color="auto" w:fill="auto"/>
            <w:vAlign w:val="center"/>
            <w:hideMark/>
          </w:tcPr>
          <w:p w14:paraId="08F6169F"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Executives</w:t>
            </w:r>
          </w:p>
        </w:tc>
        <w:tc>
          <w:tcPr>
            <w:tcW w:w="1710" w:type="dxa"/>
            <w:tcBorders>
              <w:top w:val="single" w:sz="4" w:space="0" w:color="0F9ED5"/>
              <w:left w:val="nil"/>
              <w:bottom w:val="nil"/>
              <w:right w:val="nil"/>
            </w:tcBorders>
            <w:shd w:val="clear" w:color="auto" w:fill="auto"/>
            <w:vAlign w:val="center"/>
            <w:hideMark/>
          </w:tcPr>
          <w:p w14:paraId="63CE8456"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Risk Seeker</w:t>
            </w:r>
          </w:p>
        </w:tc>
        <w:tc>
          <w:tcPr>
            <w:tcW w:w="5760" w:type="dxa"/>
            <w:tcBorders>
              <w:top w:val="single" w:sz="4" w:space="0" w:color="0F9ED5"/>
              <w:left w:val="nil"/>
              <w:bottom w:val="nil"/>
              <w:right w:val="single" w:sz="4" w:space="0" w:color="0F9ED5"/>
            </w:tcBorders>
            <w:shd w:val="clear" w:color="auto" w:fill="auto"/>
            <w:vAlign w:val="center"/>
            <w:hideMark/>
          </w:tcPr>
          <w:p w14:paraId="04B7C863"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Driven by investor expectations and performance-based incentives.</w:t>
            </w:r>
          </w:p>
        </w:tc>
      </w:tr>
      <w:tr w:rsidR="00D7153A" w:rsidRPr="004E6474" w14:paraId="46F79959" w14:textId="77777777" w:rsidTr="004E534D">
        <w:trPr>
          <w:trHeight w:val="20"/>
        </w:trPr>
        <w:tc>
          <w:tcPr>
            <w:tcW w:w="1975" w:type="dxa"/>
            <w:tcBorders>
              <w:top w:val="single" w:sz="4" w:space="0" w:color="0F9ED5"/>
              <w:left w:val="single" w:sz="4" w:space="0" w:color="0F9ED5"/>
              <w:bottom w:val="nil"/>
              <w:right w:val="nil"/>
            </w:tcBorders>
            <w:shd w:val="clear" w:color="auto" w:fill="auto"/>
            <w:vAlign w:val="center"/>
            <w:hideMark/>
          </w:tcPr>
          <w:p w14:paraId="2700BB5C"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Mid-level Managers</w:t>
            </w:r>
          </w:p>
        </w:tc>
        <w:tc>
          <w:tcPr>
            <w:tcW w:w="1710" w:type="dxa"/>
            <w:tcBorders>
              <w:top w:val="single" w:sz="4" w:space="0" w:color="0F9ED5"/>
              <w:left w:val="nil"/>
              <w:bottom w:val="nil"/>
              <w:right w:val="nil"/>
            </w:tcBorders>
            <w:shd w:val="clear" w:color="auto" w:fill="auto"/>
            <w:vAlign w:val="center"/>
            <w:hideMark/>
          </w:tcPr>
          <w:p w14:paraId="62208812"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Varies</w:t>
            </w:r>
          </w:p>
        </w:tc>
        <w:tc>
          <w:tcPr>
            <w:tcW w:w="5760" w:type="dxa"/>
            <w:tcBorders>
              <w:top w:val="single" w:sz="4" w:space="0" w:color="0F9ED5"/>
              <w:left w:val="nil"/>
              <w:bottom w:val="nil"/>
              <w:right w:val="single" w:sz="4" w:space="0" w:color="0F9ED5"/>
            </w:tcBorders>
            <w:shd w:val="clear" w:color="auto" w:fill="auto"/>
            <w:vAlign w:val="center"/>
            <w:hideMark/>
          </w:tcPr>
          <w:p w14:paraId="1510F79A" w14:textId="33FA9156"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 xml:space="preserve">Dependent on individual </w:t>
            </w:r>
            <w:r w:rsidR="009560DB">
              <w:rPr>
                <w:rFonts w:eastAsia="Times New Roman" w:cstheme="minorHAnsi"/>
                <w:color w:val="000000"/>
                <w:kern w:val="0"/>
                <w14:ligatures w14:val="none"/>
              </w:rPr>
              <w:t xml:space="preserve">risk tolerance </w:t>
            </w:r>
            <w:r w:rsidRPr="004E6474">
              <w:rPr>
                <w:rFonts w:eastAsia="Times New Roman" w:cstheme="minorHAnsi"/>
                <w:color w:val="000000"/>
                <w:kern w:val="0"/>
                <w14:ligatures w14:val="none"/>
              </w:rPr>
              <w:t>and career goals.</w:t>
            </w:r>
          </w:p>
        </w:tc>
      </w:tr>
      <w:tr w:rsidR="00D7153A" w:rsidRPr="004E6474" w14:paraId="35A0ABC9" w14:textId="77777777" w:rsidTr="004E534D">
        <w:trPr>
          <w:trHeight w:val="20"/>
        </w:trPr>
        <w:tc>
          <w:tcPr>
            <w:tcW w:w="1975" w:type="dxa"/>
            <w:tcBorders>
              <w:top w:val="single" w:sz="4" w:space="0" w:color="0F9ED5"/>
              <w:left w:val="single" w:sz="4" w:space="0" w:color="0F9ED5"/>
              <w:bottom w:val="nil"/>
              <w:right w:val="nil"/>
            </w:tcBorders>
            <w:shd w:val="clear" w:color="auto" w:fill="auto"/>
            <w:vAlign w:val="center"/>
            <w:hideMark/>
          </w:tcPr>
          <w:p w14:paraId="23C2D356"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Employees</w:t>
            </w:r>
          </w:p>
        </w:tc>
        <w:tc>
          <w:tcPr>
            <w:tcW w:w="1710" w:type="dxa"/>
            <w:tcBorders>
              <w:top w:val="single" w:sz="4" w:space="0" w:color="0F9ED5"/>
              <w:left w:val="nil"/>
              <w:bottom w:val="nil"/>
              <w:right w:val="nil"/>
            </w:tcBorders>
            <w:shd w:val="clear" w:color="auto" w:fill="auto"/>
            <w:vAlign w:val="center"/>
            <w:hideMark/>
          </w:tcPr>
          <w:p w14:paraId="04324238"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Risk Avoider</w:t>
            </w:r>
          </w:p>
        </w:tc>
        <w:tc>
          <w:tcPr>
            <w:tcW w:w="5760" w:type="dxa"/>
            <w:tcBorders>
              <w:top w:val="single" w:sz="4" w:space="0" w:color="0F9ED5"/>
              <w:left w:val="nil"/>
              <w:bottom w:val="nil"/>
              <w:right w:val="single" w:sz="4" w:space="0" w:color="0F9ED5"/>
            </w:tcBorders>
            <w:shd w:val="clear" w:color="auto" w:fill="auto"/>
            <w:vAlign w:val="center"/>
            <w:hideMark/>
          </w:tcPr>
          <w:p w14:paraId="172305C2"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Seek job security, especially in stable industries.</w:t>
            </w:r>
          </w:p>
        </w:tc>
      </w:tr>
      <w:tr w:rsidR="00D7153A" w:rsidRPr="004E6474" w14:paraId="7058785A" w14:textId="77777777" w:rsidTr="004E534D">
        <w:trPr>
          <w:trHeight w:val="20"/>
        </w:trPr>
        <w:tc>
          <w:tcPr>
            <w:tcW w:w="1975" w:type="dxa"/>
            <w:tcBorders>
              <w:top w:val="single" w:sz="4" w:space="0" w:color="0F9ED5"/>
              <w:left w:val="single" w:sz="4" w:space="0" w:color="0F9ED5"/>
              <w:bottom w:val="nil"/>
              <w:right w:val="nil"/>
            </w:tcBorders>
            <w:shd w:val="clear" w:color="auto" w:fill="auto"/>
            <w:vAlign w:val="center"/>
            <w:hideMark/>
          </w:tcPr>
          <w:p w14:paraId="6FEAFC5B"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Suppliers</w:t>
            </w:r>
          </w:p>
        </w:tc>
        <w:tc>
          <w:tcPr>
            <w:tcW w:w="1710" w:type="dxa"/>
            <w:tcBorders>
              <w:top w:val="single" w:sz="4" w:space="0" w:color="0F9ED5"/>
              <w:left w:val="nil"/>
              <w:bottom w:val="nil"/>
              <w:right w:val="nil"/>
            </w:tcBorders>
            <w:shd w:val="clear" w:color="auto" w:fill="auto"/>
            <w:vAlign w:val="center"/>
            <w:hideMark/>
          </w:tcPr>
          <w:p w14:paraId="24E0340F"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Risk Avoider</w:t>
            </w:r>
          </w:p>
        </w:tc>
        <w:tc>
          <w:tcPr>
            <w:tcW w:w="5760" w:type="dxa"/>
            <w:tcBorders>
              <w:top w:val="single" w:sz="4" w:space="0" w:color="0F9ED5"/>
              <w:left w:val="nil"/>
              <w:bottom w:val="nil"/>
              <w:right w:val="single" w:sz="4" w:space="0" w:color="0F9ED5"/>
            </w:tcBorders>
            <w:shd w:val="clear" w:color="auto" w:fill="auto"/>
            <w:vAlign w:val="center"/>
            <w:hideMark/>
          </w:tcPr>
          <w:p w14:paraId="4839E6CF"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Focus on fulfilling commitments reliably.</w:t>
            </w:r>
          </w:p>
        </w:tc>
      </w:tr>
      <w:tr w:rsidR="00D7153A" w:rsidRPr="004E6474" w14:paraId="59C9CC78" w14:textId="77777777" w:rsidTr="004E534D">
        <w:trPr>
          <w:trHeight w:val="20"/>
        </w:trPr>
        <w:tc>
          <w:tcPr>
            <w:tcW w:w="1975" w:type="dxa"/>
            <w:tcBorders>
              <w:top w:val="single" w:sz="4" w:space="0" w:color="0F9ED5"/>
              <w:left w:val="single" w:sz="4" w:space="0" w:color="0F9ED5"/>
              <w:bottom w:val="single" w:sz="4" w:space="0" w:color="0F9ED5"/>
              <w:right w:val="nil"/>
            </w:tcBorders>
            <w:shd w:val="clear" w:color="auto" w:fill="auto"/>
            <w:vAlign w:val="center"/>
            <w:hideMark/>
          </w:tcPr>
          <w:p w14:paraId="0D0DF6C8"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Customers</w:t>
            </w:r>
          </w:p>
        </w:tc>
        <w:tc>
          <w:tcPr>
            <w:tcW w:w="1710" w:type="dxa"/>
            <w:tcBorders>
              <w:top w:val="single" w:sz="4" w:space="0" w:color="0F9ED5"/>
              <w:left w:val="nil"/>
              <w:bottom w:val="single" w:sz="4" w:space="0" w:color="0F9ED5"/>
              <w:right w:val="nil"/>
            </w:tcBorders>
            <w:shd w:val="clear" w:color="auto" w:fill="auto"/>
            <w:vAlign w:val="center"/>
            <w:hideMark/>
          </w:tcPr>
          <w:p w14:paraId="6BC1014A"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Risk Neutral</w:t>
            </w:r>
          </w:p>
        </w:tc>
        <w:tc>
          <w:tcPr>
            <w:tcW w:w="5760" w:type="dxa"/>
            <w:tcBorders>
              <w:top w:val="single" w:sz="4" w:space="0" w:color="0F9ED5"/>
              <w:left w:val="nil"/>
              <w:bottom w:val="single" w:sz="4" w:space="0" w:color="0F9ED5"/>
              <w:right w:val="single" w:sz="4" w:space="0" w:color="0F9ED5"/>
            </w:tcBorders>
            <w:shd w:val="clear" w:color="auto" w:fill="auto"/>
            <w:vAlign w:val="center"/>
            <w:hideMark/>
          </w:tcPr>
          <w:p w14:paraId="665B5B48" w14:textId="77777777" w:rsidR="00D7153A" w:rsidRPr="004E6474" w:rsidRDefault="00D7153A" w:rsidP="004E534D">
            <w:pPr>
              <w:spacing w:before="0" w:after="0" w:line="240" w:lineRule="auto"/>
              <w:rPr>
                <w:rFonts w:eastAsia="Times New Roman" w:cstheme="minorHAnsi"/>
                <w:color w:val="000000"/>
                <w:kern w:val="0"/>
                <w14:ligatures w14:val="none"/>
              </w:rPr>
            </w:pPr>
            <w:r w:rsidRPr="004E6474">
              <w:rPr>
                <w:rFonts w:eastAsia="Times New Roman" w:cstheme="minorHAnsi"/>
                <w:color w:val="000000"/>
                <w:kern w:val="0"/>
                <w14:ligatures w14:val="none"/>
              </w:rPr>
              <w:t>Compare products based on expected payoffs, using contracts to mitigate risks.</w:t>
            </w:r>
          </w:p>
        </w:tc>
      </w:tr>
    </w:tbl>
    <w:p w14:paraId="087C7786" w14:textId="77777777" w:rsidR="00D7153A" w:rsidRDefault="00D7153A" w:rsidP="00D7153A"/>
    <w:p w14:paraId="2A021357" w14:textId="3B33DE17" w:rsidR="00D7153A" w:rsidRDefault="00D7153A" w:rsidP="00D7153A">
      <w:pPr>
        <w:pStyle w:val="Heading2"/>
      </w:pPr>
      <w:bookmarkStart w:id="72" w:name="_Toc191026941"/>
      <w:r>
        <w:t>Utility Functions in Decision</w:t>
      </w:r>
      <w:r w:rsidR="009560DB">
        <w:t>-</w:t>
      </w:r>
      <w:r w:rsidR="006C27C2">
        <w:t>M</w:t>
      </w:r>
      <w:r>
        <w:t>aking</w:t>
      </w:r>
      <w:bookmarkEnd w:id="72"/>
    </w:p>
    <w:p w14:paraId="4CCFD4A9" w14:textId="77777777" w:rsidR="00B90AEC" w:rsidRDefault="00B90AEC" w:rsidP="00B90AEC">
      <w:r>
        <w:t>Building on the earlier discussion of risk tolerance, utility functions provide a quantitative method to capture individual preferences in decision-making processes. Utility represents the value or satisfaction derived from a decision outcome, allowing for a mathematical evaluation of choices, particularly under uncertainty. By converting monetary payoffs into a measure of utility, these functions reflect a decision-maker's risk tolerance.</w:t>
      </w:r>
    </w:p>
    <w:p w14:paraId="5C1E3C06" w14:textId="77777777" w:rsidR="00B90AEC" w:rsidRDefault="00B90AEC" w:rsidP="00B90AEC">
      <w:r>
        <w:t>Definition: A Risk Utility Function, U(x), assigns a numerical value (utility) to each potential outcome of a decision, accounting for associated uncertainties. This function quantifies the subjective satisfaction of each outcome, aligning decisions with individual risk preferences. The shape of their utility function captures a decision-maker's attitude toward risk:</w:t>
      </w:r>
    </w:p>
    <w:p w14:paraId="0EF189D9" w14:textId="1AB36A26" w:rsidR="00B90AEC" w:rsidRDefault="00B90AEC" w:rsidP="00D81274">
      <w:pPr>
        <w:pStyle w:val="ListParagraph"/>
        <w:numPr>
          <w:ilvl w:val="0"/>
          <w:numId w:val="29"/>
        </w:numPr>
      </w:pPr>
      <w:r>
        <w:t>Risk-averse: This group prefers specific outcomes over uncertain ones with the same expected value. Their utility function is concave, reflecting diminishing marginal utility, where each additional dollar is valued less than the previous one. For example, a risk-averse manager might assign greater utility to a guaranteed $5 million than a riskier option with a higher expected value but more uncertainty.</w:t>
      </w:r>
    </w:p>
    <w:p w14:paraId="6342113D" w14:textId="7541150E" w:rsidR="00B90AEC" w:rsidRDefault="00B90AEC" w:rsidP="00D81274">
      <w:pPr>
        <w:pStyle w:val="ListParagraph"/>
        <w:numPr>
          <w:ilvl w:val="0"/>
          <w:numId w:val="29"/>
        </w:numPr>
      </w:pPr>
      <w:r>
        <w:t>Risk-</w:t>
      </w:r>
      <w:r w:rsidR="0077035D">
        <w:t>n</w:t>
      </w:r>
      <w:r>
        <w:t xml:space="preserve">eutral: </w:t>
      </w:r>
      <w:r w:rsidR="0077035D">
        <w:t>These individuals v</w:t>
      </w:r>
      <w:r>
        <w:t xml:space="preserve">alue each additional dollar equally, regardless of </w:t>
      </w:r>
      <w:r w:rsidR="0077035D">
        <w:t xml:space="preserve">the </w:t>
      </w:r>
      <w:r>
        <w:t>amount. Their utility function is a straight line, indicating consistent marginal utility for increased payoffs. A risk-neutral decision-maker would treat a guaranteed $5.5 million and a 70% chance to earn $10 million with a 30% chance of losing $5 million equally, given the same expected monetary value.</w:t>
      </w:r>
    </w:p>
    <w:p w14:paraId="789C2EF8" w14:textId="5A17B61A" w:rsidR="00B90AEC" w:rsidRDefault="00B90AEC" w:rsidP="00D81274">
      <w:pPr>
        <w:pStyle w:val="ListParagraph"/>
        <w:numPr>
          <w:ilvl w:val="0"/>
          <w:numId w:val="29"/>
        </w:numPr>
      </w:pPr>
      <w:r>
        <w:t>Risk-</w:t>
      </w:r>
      <w:r w:rsidR="0077035D">
        <w:t>s</w:t>
      </w:r>
      <w:r>
        <w:t xml:space="preserve">eeking: </w:t>
      </w:r>
      <w:r w:rsidR="0077035D">
        <w:t>Risk-seekers p</w:t>
      </w:r>
      <w:r>
        <w:t xml:space="preserve">refer uncertain outcomes over certain ones with the same expected value. Their utility function is convex, showing increasing marginal utility for higher payoffs. A </w:t>
      </w:r>
      <w:r>
        <w:lastRenderedPageBreak/>
        <w:t>risk-seeking individual might choose a gamble with a lower expected value over a specific payoff, driven by the potential for high rewards despite the risk of loss.</w:t>
      </w:r>
    </w:p>
    <w:p w14:paraId="281DADCD" w14:textId="3DC53C28" w:rsidR="00882C3D" w:rsidRDefault="00B90AEC" w:rsidP="00B90AEC">
      <w:r>
        <w:t>This framework allows decision-makers to align choices with their psychological realities and broader organizational strategies</w:t>
      </w:r>
      <w:r w:rsidR="00882C3D">
        <w:t>.</w:t>
      </w:r>
    </w:p>
    <w:p w14:paraId="0E8EB51E" w14:textId="291DA72B" w:rsidR="00D7153A" w:rsidRDefault="00D7153A" w:rsidP="00D7153A">
      <w:r w:rsidRPr="00F964B6">
        <w:rPr>
          <w:noProof/>
        </w:rPr>
        <w:drawing>
          <wp:inline distT="0" distB="0" distL="0" distR="0" wp14:anchorId="18E7A40A" wp14:editId="098CDB91">
            <wp:extent cx="5943600" cy="3339465"/>
            <wp:effectExtent l="0" t="0" r="0" b="0"/>
            <wp:docPr id="620666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72AC573D" w14:textId="77777777" w:rsidR="00D7153A" w:rsidRDefault="00D7153A" w:rsidP="00D7153A"/>
    <w:p w14:paraId="589BACC7" w14:textId="1E87386C" w:rsidR="00D7153A" w:rsidRDefault="00D7153A" w:rsidP="00D7153A">
      <w:pPr>
        <w:pStyle w:val="Heading4"/>
      </w:pPr>
      <w:r>
        <w:t>Exponential Utility Function for Risk-</w:t>
      </w:r>
      <w:r w:rsidR="00B90AEC">
        <w:t>a</w:t>
      </w:r>
      <w:r>
        <w:t xml:space="preserve">verse </w:t>
      </w:r>
      <w:r w:rsidR="009560DB">
        <w:t>I</w:t>
      </w:r>
      <w:r w:rsidR="00B90AEC">
        <w:t>ndividuals</w:t>
      </w:r>
    </w:p>
    <w:p w14:paraId="6740449A" w14:textId="0CB3C02C" w:rsidR="00D7153A" w:rsidRDefault="00B90AEC" w:rsidP="00D7153A">
      <w:r w:rsidRPr="00B90AEC">
        <w:t>For risk-averse individuals, an exponential utility function is often used. The general form is</w:t>
      </w:r>
      <w:r w:rsidR="00D7153A">
        <w:t>:</w:t>
      </w:r>
    </w:p>
    <w:p w14:paraId="2794C0E2" w14:textId="77777777" w:rsidR="00D7153A" w:rsidRDefault="00D7153A" w:rsidP="00D7153A">
      <m:oMathPara>
        <m:oMath>
          <m:r>
            <m:rPr>
              <m:sty m:val="p"/>
            </m:rPr>
            <w:rPr>
              <w:rFonts w:ascii="Cambria Math" w:hAnsi="Cambria Math"/>
            </w:rPr>
            <m:t>U(x) = 1 -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-x/R</m:t>
              </m:r>
            </m:sup>
          </m:sSup>
          <m:r>
            <m:rPr>
              <m:sty m:val="p"/>
            </m:rPr>
            <w:rPr>
              <w:rFonts w:ascii="Cambria Math" w:hAnsi="Cambria Math"/>
            </w:rPr>
            <m:t xml:space="preserve"> </m:t>
          </m:r>
        </m:oMath>
      </m:oMathPara>
    </w:p>
    <w:p w14:paraId="10B85806" w14:textId="427CAB13" w:rsidR="00D7153A" w:rsidRDefault="00882C3D" w:rsidP="00D7153A">
      <w:r>
        <w:t>Wh</w:t>
      </w:r>
      <w:r w:rsidR="00D7153A">
        <w:t xml:space="preserve">ere x is the payoff, and R is </w:t>
      </w:r>
      <w:r w:rsidR="00B90AEC">
        <w:t xml:space="preserve">the </w:t>
      </w:r>
      <w:r w:rsidR="009560DB">
        <w:t xml:space="preserve">risk tolerance </w:t>
      </w:r>
      <w:r w:rsidR="00D7153A">
        <w:t xml:space="preserve">parameter. </w:t>
      </w:r>
      <w:r w:rsidRPr="00882C3D">
        <w:t>This function captures diminishing marginal utility, where each additional dollar is valued less than the previous one</w:t>
      </w:r>
      <w:r w:rsidR="00D7153A">
        <w:t>.</w:t>
      </w:r>
    </w:p>
    <w:p w14:paraId="0B15A152" w14:textId="18672C51" w:rsidR="00D7153A" w:rsidRDefault="00B90AEC" w:rsidP="00D7153A">
      <w:r w:rsidRPr="00B90AEC">
        <w:t xml:space="preserve">For instance, assuming a decision maker's </w:t>
      </w:r>
      <w:r w:rsidR="009560DB">
        <w:t xml:space="preserve">risk tolerance </w:t>
      </w:r>
      <w:r w:rsidRPr="00B90AEC">
        <w:t>parameter (R) is $20 million, the utility of a $10 million profit would be</w:t>
      </w:r>
      <w:r w:rsidR="00D7153A">
        <w:t xml:space="preserve">: </w:t>
      </w:r>
    </w:p>
    <w:p w14:paraId="57DA70AC" w14:textId="0146B30A" w:rsidR="00D7153A" w:rsidRDefault="00D7153A" w:rsidP="00D7153A">
      <m:oMathPara>
        <m:oMath>
          <m:r>
            <m:rPr>
              <m:sty m:val="p"/>
            </m:rPr>
            <w:rPr>
              <w:rFonts w:ascii="Cambria Math" w:hAnsi="Cambria Math"/>
            </w:rPr>
            <w:lastRenderedPageBreak/>
            <m:t>U(x) = 1 -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-10/20</m:t>
              </m:r>
            </m:sup>
          </m:sSup>
          <m:r>
            <w:rPr>
              <w:rFonts w:ascii="Cambria Math" w:hAnsi="Cambria Math"/>
            </w:rPr>
            <m:t>=0.39</m:t>
          </m:r>
        </m:oMath>
      </m:oMathPara>
    </w:p>
    <w:p w14:paraId="722164ED" w14:textId="56147849" w:rsidR="00D7153A" w:rsidRDefault="00882C3D" w:rsidP="00D7153A">
      <w:r>
        <w:t xml:space="preserve">And the </w:t>
      </w:r>
      <w:r w:rsidR="00D7153A">
        <w:t>utility of a $</w:t>
      </w:r>
      <w:r w:rsidR="00A36142">
        <w:t>5</w:t>
      </w:r>
      <w:r w:rsidR="00D7153A">
        <w:t xml:space="preserve"> million loss </w:t>
      </w:r>
      <w:r>
        <w:t>would be:</w:t>
      </w:r>
    </w:p>
    <w:p w14:paraId="0629CE43" w14:textId="21010D27" w:rsidR="00D7153A" w:rsidRDefault="00D7153A" w:rsidP="00D7153A">
      <m:oMathPara>
        <m:oMath>
          <m:r>
            <m:rPr>
              <m:sty m:val="p"/>
            </m:rPr>
            <w:rPr>
              <w:rFonts w:ascii="Cambria Math" w:hAnsi="Cambria Math"/>
            </w:rPr>
            <m:t>U(x) = 1 -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-(-5)/20</m:t>
              </m:r>
            </m:sup>
          </m:sSup>
          <m:r>
            <w:rPr>
              <w:rFonts w:ascii="Cambria Math" w:hAnsi="Cambria Math"/>
            </w:rPr>
            <m:t>=-0.28</m:t>
          </m:r>
        </m:oMath>
      </m:oMathPara>
    </w:p>
    <w:p w14:paraId="0CDAA50D" w14:textId="028137AD" w:rsidR="00D7153A" w:rsidRDefault="00882C3D" w:rsidP="00D7153A">
      <w:r>
        <w:t>T</w:t>
      </w:r>
      <w:r w:rsidR="00D7153A">
        <w:t xml:space="preserve">he expected utility for the new product launch </w:t>
      </w:r>
      <w:r>
        <w:t>would be:</w:t>
      </w:r>
    </w:p>
    <w:p w14:paraId="3AFAACDA" w14:textId="797DCD16" w:rsidR="00D7153A" w:rsidRDefault="00D7153A" w:rsidP="00D7153A">
      <m:oMathPara>
        <m:oMath>
          <m:r>
            <w:rPr>
              <w:rFonts w:ascii="Cambria Math" w:hAnsi="Cambria Math"/>
            </w:rPr>
            <m:t xml:space="preserve">Expected Utility = </m:t>
          </m:r>
          <m:nary>
            <m:naryPr>
              <m:chr m:val="∑"/>
              <m:limLoc m:val="undOvr"/>
              <m:subHide m:val="1"/>
              <m:supHide m:val="1"/>
              <m:ctrlPr>
                <w:rPr>
                  <w:rFonts w:ascii="Cambria Math" w:hAnsi="Cambria Math"/>
                  <w:i/>
                </w:rPr>
              </m:ctrlPr>
            </m:naryPr>
            <m:sub/>
            <m:sup/>
            <m:e>
              <m:r>
                <w:rPr>
                  <w:rFonts w:ascii="Cambria Math" w:hAnsi="Cambria Math"/>
                </w:rPr>
                <m:t>(Utility(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×Probablity</m:t>
                  </m:r>
                </m:e>
                <m:sub>
                  <m:r>
                    <w:rPr>
                      <w:rFonts w:ascii="Cambria Math" w:hAnsi="Cambria Math"/>
                    </w:rPr>
                    <m:t>i</m:t>
                  </m:r>
                </m:sub>
              </m:sSub>
            </m:e>
          </m:nary>
          <m:r>
            <w:rPr>
              <w:rFonts w:ascii="Cambria Math" w:eastAsiaTheme="minorEastAsia" w:hAnsi="Cambria Math"/>
            </w:rPr>
            <m:t>)=0.39×70%+(-0.28)×30%=0.19</m:t>
          </m:r>
        </m:oMath>
      </m:oMathPara>
    </w:p>
    <w:p w14:paraId="3DC60BD3" w14:textId="27457D06" w:rsidR="00D7153A" w:rsidRDefault="00B90AEC" w:rsidP="00D7153A">
      <w:r w:rsidRPr="00B90AEC">
        <w:t>The reverse utility function can convert this expected utility to a certain</w:t>
      </w:r>
      <w:r>
        <w:t>-</w:t>
      </w:r>
      <w:r w:rsidRPr="00B90AEC">
        <w:t>equivalent value</w:t>
      </w:r>
      <w:r w:rsidR="00D7153A">
        <w:t xml:space="preserve">. </w:t>
      </w:r>
    </w:p>
    <w:p w14:paraId="71C07551" w14:textId="4DD62021" w:rsidR="00D7153A" w:rsidRDefault="00D7153A" w:rsidP="00D7153A">
      <m:oMathPara>
        <m:oMath>
          <m:r>
            <w:rPr>
              <w:rFonts w:ascii="Cambria Math" w:hAnsi="Cambria Math"/>
            </w:rPr>
            <m:t xml:space="preserve">Certain-equivalent Value = </m:t>
          </m:r>
          <m:d>
            <m:dPr>
              <m:ctrlPr>
                <w:rPr>
                  <w:rFonts w:ascii="Cambria Math" w:hAnsi="Cambria Math"/>
                  <w:i/>
                </w:rPr>
              </m:ctrlPr>
            </m:dPr>
            <m:e>
              <m:r>
                <w:rPr>
                  <w:rFonts w:ascii="Cambria Math" w:hAnsi="Cambria Math"/>
                </w:rPr>
                <m:t>-R</m:t>
              </m:r>
            </m:e>
          </m:d>
          <m:r>
            <w:rPr>
              <w:rFonts w:ascii="Cambria Math" w:hAnsi="Cambria Math"/>
            </w:rPr>
            <m:t>×</m:t>
          </m:r>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1-U</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1-0.19</m:t>
              </m:r>
            </m:e>
          </m:d>
          <m:r>
            <w:rPr>
              <w:rFonts w:ascii="Cambria Math" w:eastAsiaTheme="minorEastAsia" w:hAnsi="Cambria Math"/>
            </w:rPr>
            <m:t>=$4.2 million</m:t>
          </m:r>
        </m:oMath>
      </m:oMathPara>
    </w:p>
    <w:p w14:paraId="2B5B911C" w14:textId="0D97683D" w:rsidR="009162A7" w:rsidRDefault="00B90AEC" w:rsidP="00323D13">
      <w:r w:rsidRPr="00B90AEC">
        <w:t xml:space="preserve">The </w:t>
      </w:r>
      <w:r>
        <w:t>uncertain o</w:t>
      </w:r>
      <w:r w:rsidRPr="00B90AEC">
        <w:t xml:space="preserve">ption's </w:t>
      </w:r>
      <w:r>
        <w:t>certain-</w:t>
      </w:r>
      <w:r w:rsidRPr="00B90AEC">
        <w:t>equivalent value is $4.2 million, less than the alternative option's guaranteed $5 million payoff. The risk-averse decision</w:t>
      </w:r>
      <w:r>
        <w:t>-</w:t>
      </w:r>
      <w:r w:rsidRPr="00B90AEC">
        <w:t>maker would prefer the conservative option to the risky option.</w:t>
      </w:r>
    </w:p>
    <w:p w14:paraId="5D32660C" w14:textId="581150F4" w:rsidR="00D7153A" w:rsidRDefault="00D7153A" w:rsidP="00D7153A">
      <w:pPr>
        <w:pStyle w:val="Heading3"/>
      </w:pPr>
      <w:r>
        <w:t xml:space="preserve">Risk Premium: </w:t>
      </w:r>
      <w:r w:rsidRPr="00150378">
        <w:t>The Price for Choosing Certainty</w:t>
      </w:r>
    </w:p>
    <w:p w14:paraId="7181CB20" w14:textId="0156C8CB" w:rsidR="00D7153A" w:rsidRDefault="00B90AEC" w:rsidP="00D7153A">
      <w:r w:rsidRPr="00B90AEC">
        <w:t>The risk premium is a fundamental concept in finance decision-making. It represents the opportunity cost that a risk-averse investor is willing to incur by choosing a risk-free asset instead of facing the uncertainty of a risky asset. Simply put, the risk premium is calculated as the difference between the certainty-equivalent value and the expected value of a decision</w:t>
      </w:r>
      <w:r w:rsidR="00D7153A" w:rsidRPr="00150378">
        <w:t>.</w:t>
      </w:r>
    </w:p>
    <w:p w14:paraId="1B5A72A1" w14:textId="5FAF8DAF" w:rsidR="00D7153A" w:rsidRDefault="00D7153A" w:rsidP="00D7153A">
      <m:oMathPara>
        <m:oMath>
          <m:r>
            <m:rPr>
              <m:sty m:val="p"/>
            </m:rPr>
            <w:rPr>
              <w:rFonts w:ascii="Cambria Math" w:hAnsi="Cambria Math"/>
            </w:rPr>
            <m:t xml:space="preserve">Risk Premium = Expected Value -Certainty-equivalent Value </m:t>
          </m:r>
        </m:oMath>
      </m:oMathPara>
    </w:p>
    <w:p w14:paraId="21B524CA" w14:textId="77777777" w:rsidR="00B90AEC" w:rsidRDefault="00B90AEC" w:rsidP="00B90AEC">
      <w:r>
        <w:t>For example, if the expected value of launching a new product is $5.5 million, and the certainty-equivalent value is $4.2 million, the risk premium is $1.3 million. This amount reflects the decision maker's preference for stability and aversion to potential losses.</w:t>
      </w:r>
    </w:p>
    <w:p w14:paraId="477926DD" w14:textId="3D512403" w:rsidR="00DD3FFB" w:rsidRDefault="00B90AEC" w:rsidP="00B90AEC">
      <w:r>
        <w:t xml:space="preserve">In insurance, the risk premium directly influences policy pricing. It helps insurers determine how much more they must charge to compensate for uncertainty and potential loss variability. By integrating the </w:t>
      </w:r>
      <w:r>
        <w:lastRenderedPageBreak/>
        <w:t>risk premium into their pricing strategies, insurers can better align premiums with the level of risk associated with the coverage, ensuring they adequately cover potential losses while maintaining financial stability</w:t>
      </w:r>
      <w:r w:rsidR="00DD3FFB" w:rsidRPr="00DD3FFB">
        <w:t>.</w:t>
      </w:r>
    </w:p>
    <w:p w14:paraId="5E62614C" w14:textId="758BE3FB" w:rsidR="00B90AEC" w:rsidRDefault="00D7153A" w:rsidP="00374D69">
      <w:pPr>
        <w:pStyle w:val="Heading3"/>
      </w:pPr>
      <w:r>
        <w:t>Estima</w:t>
      </w:r>
      <w:r w:rsidR="00B90AEC">
        <w:t>te</w:t>
      </w:r>
      <w:r>
        <w:t xml:space="preserve"> the Ris</w:t>
      </w:r>
      <w:r w:rsidR="009560DB">
        <w:t>k T</w:t>
      </w:r>
      <w:r>
        <w:t xml:space="preserve">olerance Parameter </w:t>
      </w:r>
    </w:p>
    <w:p w14:paraId="7F5581E7" w14:textId="7699FC53" w:rsidR="00B90AEC" w:rsidRDefault="00B90AEC" w:rsidP="00B90AEC">
      <w:r>
        <w:t xml:space="preserve">To </w:t>
      </w:r>
      <w:r w:rsidR="003914B6">
        <w:t>effectively apply the exponential utility function</w:t>
      </w:r>
      <w:r>
        <w:t xml:space="preserve">, businesses must estimate the </w:t>
      </w:r>
      <w:r w:rsidR="009560DB">
        <w:t xml:space="preserve">risk tolerance </w:t>
      </w:r>
      <w:r>
        <w:t>parameter, R. While sophisticated actuarial models are often used, practical methods can provide valuable insights. One such method involves a simple experiment of chance, where a decision-maker evaluates a bet with a 50% probability of winning a particular amount Y and a 50% probability of losing half that amount Y/2.</w:t>
      </w:r>
    </w:p>
    <w:p w14:paraId="0E658085" w14:textId="65708B4E" w:rsidR="00B90AEC" w:rsidRDefault="00B90AEC" w:rsidP="00B90AEC">
      <w:r>
        <w:t xml:space="preserve">By identifying the maximum value of Y at which the decision-maker is willing to participate in this bet, we can estimate their </w:t>
      </w:r>
      <w:r w:rsidR="009560DB">
        <w:t xml:space="preserve">risk tolerance </w:t>
      </w:r>
      <w:r>
        <w:t xml:space="preserve">parameter, R. This maximum Y is the point at which the decision-maker feels indifferent about taking the risk. A lower value of the </w:t>
      </w:r>
      <w:r w:rsidR="009560DB">
        <w:t xml:space="preserve">risk tolerance </w:t>
      </w:r>
      <w:r>
        <w:t>parameter indicates higher risk aversion. Conversely, a higher R indicates a higher risk tolerance.</w:t>
      </w:r>
    </w:p>
    <w:p w14:paraId="67001CB2" w14:textId="0CBFE39F" w:rsidR="00B90AEC" w:rsidRDefault="00B90AEC" w:rsidP="00B90AEC">
      <w:r>
        <w:t xml:space="preserve">For example, if a person is willing to accept the bet at a maximum Y of $1,000, the person's </w:t>
      </w:r>
      <w:r w:rsidR="009560DB">
        <w:t xml:space="preserve">risk tolerance </w:t>
      </w:r>
      <w:r>
        <w:t>parameter, R, is 1,000. If another person accepts the risk at a maximum Y of $4,000, the person's R is $4,000, indicating the person is less risk-averse.</w:t>
      </w:r>
    </w:p>
    <w:p w14:paraId="0A59C337" w14:textId="6D603EEF" w:rsidR="00B90AEC" w:rsidRDefault="00B90AEC" w:rsidP="00B90AEC">
      <w:r>
        <w:t xml:space="preserve">This simple method effectively gathers insights through surveys with decision-makers to determine their risk tolerance. Its simplicity makes it a practical approach for estimating </w:t>
      </w:r>
      <w:r w:rsidR="009560DB">
        <w:t xml:space="preserve">risk tolerance </w:t>
      </w:r>
      <w:r>
        <w:t>across various decision-making contexts.</w:t>
      </w:r>
    </w:p>
    <w:p w14:paraId="30A2D3B2" w14:textId="74D1439C" w:rsidR="00B90AEC" w:rsidRDefault="00B90AEC" w:rsidP="00B90AEC">
      <w:r>
        <w:t xml:space="preserve">Ronald Howard, a respected figure from Stanford University with extensive experience in decision-making, conducted research exploring how </w:t>
      </w:r>
      <w:r w:rsidR="009560DB">
        <w:t xml:space="preserve">risk tolerance </w:t>
      </w:r>
      <w:r>
        <w:t xml:space="preserve">influences financial outcomes. His work involved assessing </w:t>
      </w:r>
      <w:r w:rsidR="009560DB">
        <w:t xml:space="preserve">risk tolerance </w:t>
      </w:r>
      <w:r>
        <w:t>through interviews with top executives and analyzing annual reports for key financial metrics like net sales, net income, and equity across three prominent companies.</w:t>
      </w:r>
    </w:p>
    <w:p w14:paraId="71A02EC6" w14:textId="11897CC7" w:rsidR="00B90AEC" w:rsidRDefault="00B90AEC" w:rsidP="00B90AEC">
      <w:r>
        <w:lastRenderedPageBreak/>
        <w:t xml:space="preserve">The findings highlight a consistent pattern linking a company's </w:t>
      </w:r>
      <w:r w:rsidR="009560DB">
        <w:t xml:space="preserve">risk tolerance </w:t>
      </w:r>
      <w:r>
        <w:t>parameter, R, to its financial measures. For instance,</w:t>
      </w:r>
    </w:p>
    <w:p w14:paraId="292F5D57" w14:textId="13D318FD" w:rsidR="00B90AEC" w:rsidRDefault="00B90AEC" w:rsidP="00D81274">
      <w:pPr>
        <w:pStyle w:val="ListParagraph"/>
        <w:numPr>
          <w:ilvl w:val="0"/>
          <w:numId w:val="24"/>
        </w:numPr>
      </w:pPr>
      <w:r>
        <w:t xml:space="preserve">The ratio of </w:t>
      </w:r>
      <w:r w:rsidR="009560DB">
        <w:t xml:space="preserve">risk tolerance </w:t>
      </w:r>
      <w:r>
        <w:t xml:space="preserve">to net sales consistently hovered around 6% across all three companies. </w:t>
      </w:r>
    </w:p>
    <w:p w14:paraId="191C8C61" w14:textId="7DD7EA8C" w:rsidR="00B90AEC" w:rsidRDefault="00B90AEC" w:rsidP="00D81274">
      <w:pPr>
        <w:pStyle w:val="ListParagraph"/>
        <w:numPr>
          <w:ilvl w:val="0"/>
          <w:numId w:val="24"/>
        </w:numPr>
      </w:pPr>
      <w:r>
        <w:t xml:space="preserve">The relationship between </w:t>
      </w:r>
      <w:r w:rsidR="009560DB">
        <w:t xml:space="preserve">risk tolerance </w:t>
      </w:r>
      <w:r>
        <w:t xml:space="preserve">and net income exhibited slight variations but maintained a ratio averaging 1.24. </w:t>
      </w:r>
    </w:p>
    <w:p w14:paraId="77421A6F" w14:textId="4E9E98CD" w:rsidR="00B90AEC" w:rsidRDefault="00B90AEC" w:rsidP="00D81274">
      <w:pPr>
        <w:pStyle w:val="ListParagraph"/>
        <w:numPr>
          <w:ilvl w:val="0"/>
          <w:numId w:val="24"/>
        </w:numPr>
      </w:pPr>
      <w:r>
        <w:t xml:space="preserve">The </w:t>
      </w:r>
      <w:r w:rsidR="009560DB">
        <w:t xml:space="preserve">risk tolerance </w:t>
      </w:r>
      <w:r>
        <w:t>parameter in relation to equity consistently reflected a ratio of approximately one-sixth of the total equity.</w:t>
      </w:r>
    </w:p>
    <w:p w14:paraId="0037CC5B" w14:textId="28C0E2F9" w:rsidR="00D7153A" w:rsidRDefault="00B90AEC" w:rsidP="00D7153A">
      <w:r>
        <w:t xml:space="preserve">This empirical relationship underscores how a company's willingness to accept risk influences its financial performance. Howard's approach, blending qualitative insights from executive interviews with quantitative data from financial reports, provides a compelling framework for understanding the strategic implications of </w:t>
      </w:r>
      <w:r w:rsidR="009560DB">
        <w:t xml:space="preserve">risk tolerance </w:t>
      </w:r>
      <w:r>
        <w:t>on corporate decision-making</w:t>
      </w:r>
      <w:r w:rsidR="00D7153A">
        <w:t>.</w:t>
      </w:r>
    </w:p>
    <w:p w14:paraId="77A763FF" w14:textId="672F2768" w:rsidR="00D7153A" w:rsidRDefault="00D7153A" w:rsidP="00D7153A">
      <w:pPr>
        <w:pStyle w:val="Heading2"/>
      </w:pPr>
      <w:bookmarkStart w:id="73" w:name="_Toc191026942"/>
      <w:r>
        <w:t>Integrat</w:t>
      </w:r>
      <w:r w:rsidR="009560DB">
        <w:t>e</w:t>
      </w:r>
      <w:r>
        <w:t xml:space="preserve"> Risk</w:t>
      </w:r>
      <w:r w:rsidR="009560DB">
        <w:t xml:space="preserve"> T</w:t>
      </w:r>
      <w:r>
        <w:t>olerance into Decision Trees</w:t>
      </w:r>
      <w:bookmarkEnd w:id="73"/>
    </w:p>
    <w:p w14:paraId="730F093B" w14:textId="77777777" w:rsidR="009560DB" w:rsidRDefault="009560DB" w:rsidP="009560DB">
      <w:r>
        <w:t>In a decision tree, each branch represents a decision or a chance event that leads to a distinct outcome, such as a financial return. By applying a defined utility function to these values, the monetary outcomes are converted into risk utilities, enabling the comparison of the expected utility of each decision path.</w:t>
      </w:r>
    </w:p>
    <w:p w14:paraId="22E20C27" w14:textId="77777777" w:rsidR="009560DB" w:rsidRDefault="009560DB" w:rsidP="009560DB">
      <w:r>
        <w:t>Incorporating risk-utility functions into decision-tree models enhances decision-making by blending objective analysis with individual subjective risk tolerance. Here's a step-by-step summary of integrating risk tolerance into decision trees:</w:t>
      </w:r>
    </w:p>
    <w:p w14:paraId="54F9076A" w14:textId="610A4954" w:rsidR="009560DB" w:rsidRDefault="009560DB" w:rsidP="00D81274">
      <w:pPr>
        <w:pStyle w:val="ListParagraph"/>
        <w:numPr>
          <w:ilvl w:val="0"/>
          <w:numId w:val="25"/>
        </w:numPr>
      </w:pPr>
      <w:r>
        <w:t>Understand the Uncertainty: Identify critical decisions and the various scenarios that could impact the outcomes of each decision option.</w:t>
      </w:r>
    </w:p>
    <w:p w14:paraId="709E3FC7" w14:textId="77777777" w:rsidR="009560DB" w:rsidRDefault="009560DB" w:rsidP="00D81274">
      <w:pPr>
        <w:pStyle w:val="ListParagraph"/>
        <w:numPr>
          <w:ilvl w:val="0"/>
          <w:numId w:val="25"/>
        </w:numPr>
      </w:pPr>
      <w:r>
        <w:t>Define Payoffs and Probabilities: Estimate all potential outcomes and their associated probabilities.</w:t>
      </w:r>
    </w:p>
    <w:p w14:paraId="0201A012" w14:textId="77777777" w:rsidR="009560DB" w:rsidRDefault="009560DB" w:rsidP="00D81274">
      <w:pPr>
        <w:pStyle w:val="ListParagraph"/>
        <w:numPr>
          <w:ilvl w:val="0"/>
          <w:numId w:val="25"/>
        </w:numPr>
      </w:pPr>
      <w:r>
        <w:lastRenderedPageBreak/>
        <w:t>Apply Utility Functions: For risk-averse decision-makers, use a utility function, such as the exponential function, to convert monetary outcomes into utilities based on the decision-maker's risk tolerance.</w:t>
      </w:r>
    </w:p>
    <w:p w14:paraId="13667FE0" w14:textId="77777777" w:rsidR="009560DB" w:rsidRDefault="009560DB" w:rsidP="00D81274">
      <w:pPr>
        <w:pStyle w:val="ListParagraph"/>
        <w:numPr>
          <w:ilvl w:val="0"/>
          <w:numId w:val="25"/>
        </w:numPr>
      </w:pPr>
      <w:r>
        <w:t>Calculate Expected Utility and Certainty Equivalent Value: For each decision path, calculate the expected utility by multiplying the utility of each outcome by its probability and summing the results. Compute the certainty equivalent value using the reverse and expected utility functions.</w:t>
      </w:r>
    </w:p>
    <w:p w14:paraId="4A1753DC" w14:textId="6A35C093" w:rsidR="007A66C1" w:rsidRDefault="009560DB" w:rsidP="00D81274">
      <w:pPr>
        <w:pStyle w:val="ListParagraph"/>
        <w:numPr>
          <w:ilvl w:val="0"/>
          <w:numId w:val="25"/>
        </w:numPr>
      </w:pPr>
      <w:r>
        <w:t>Compare and Choose: Select the decision path with the highest certainty equivalent value (or expected utility), reflecting both analytical data and the decision-maker's risk preferences</w:t>
      </w:r>
      <w:r w:rsidR="007A66C1">
        <w:t>.</w:t>
      </w:r>
    </w:p>
    <w:p w14:paraId="07CF77BE" w14:textId="6DB08227" w:rsidR="00D7153A" w:rsidRPr="0077035D" w:rsidRDefault="00D7153A" w:rsidP="00D7153A">
      <w:pPr>
        <w:pStyle w:val="Heading3"/>
      </w:pPr>
      <w:r w:rsidRPr="0077035D">
        <w:t>Case Study: Renewable Energy Production Plan</w:t>
      </w:r>
      <w:r w:rsidR="007B767E" w:rsidRPr="0077035D">
        <w:t>t</w:t>
      </w:r>
      <w:r w:rsidRPr="0077035D">
        <w:t xml:space="preserve"> Investment</w:t>
      </w:r>
    </w:p>
    <w:p w14:paraId="22F2AB55" w14:textId="77777777" w:rsidR="009560DB" w:rsidRPr="009560DB" w:rsidRDefault="009560DB" w:rsidP="009560DB">
      <w:pPr>
        <w:rPr>
          <w:b/>
          <w:bCs/>
        </w:rPr>
      </w:pPr>
      <w:r w:rsidRPr="009560DB">
        <w:rPr>
          <w:b/>
          <w:bCs/>
        </w:rPr>
        <w:t>Objectives</w:t>
      </w:r>
    </w:p>
    <w:p w14:paraId="52A3AAA1" w14:textId="77777777" w:rsidR="009560DB" w:rsidRDefault="009560DB" w:rsidP="009560DB">
      <w:r>
        <w:t>The case study illustrates how integrating risk tolerance into decision-making can influence investment choices. By comparing two investment options with decision trees and risk-utility functions, the study demonstrates how risk-averse decision-makers may favor options that offer stability over a riskier alternative with a more significant potential turn. At the same time, risk-neutral individuals may choose the latter.</w:t>
      </w:r>
    </w:p>
    <w:p w14:paraId="6BD5B8A7" w14:textId="77777777" w:rsidR="009560DB" w:rsidRDefault="009560DB" w:rsidP="009560DB">
      <w:r>
        <w:t>Investment Case</w:t>
      </w:r>
    </w:p>
    <w:p w14:paraId="0119DA87" w14:textId="0E7E776B" w:rsidR="009560DB" w:rsidRDefault="009560DB" w:rsidP="009560DB">
      <w:r w:rsidRPr="009F4BF8">
        <w:t>The investment scenarios are consistent with those described in the Renewable Energy Production Plant Investment case</w:t>
      </w:r>
      <w:r>
        <w:t xml:space="preserve"> in section </w:t>
      </w:r>
      <w:r>
        <w:rPr>
          <w:highlight w:val="yellow"/>
        </w:rPr>
        <w:fldChar w:fldCharType="begin"/>
      </w:r>
      <w:r>
        <w:instrText xml:space="preserve"> REF _Ref174960149 \r \h </w:instrText>
      </w:r>
      <w:r>
        <w:rPr>
          <w:highlight w:val="yellow"/>
        </w:rPr>
      </w:r>
      <w:r>
        <w:rPr>
          <w:highlight w:val="yellow"/>
        </w:rPr>
        <w:fldChar w:fldCharType="separate"/>
      </w:r>
      <w:r w:rsidR="0074672C">
        <w:t>6.3.3</w:t>
      </w:r>
      <w:r>
        <w:rPr>
          <w:highlight w:val="yellow"/>
        </w:rPr>
        <w:fldChar w:fldCharType="end"/>
      </w:r>
      <w:r>
        <w:t>. The company faces two investment options.</w:t>
      </w:r>
    </w:p>
    <w:p w14:paraId="57E12A42" w14:textId="77777777" w:rsidR="009560DB" w:rsidRDefault="009560DB" w:rsidP="009560DB">
      <w:r>
        <w:t>Option 1: Build a plant optimized for minimizing the production cost of e-diesel.</w:t>
      </w:r>
    </w:p>
    <w:p w14:paraId="741F0F2D" w14:textId="77777777" w:rsidR="009560DB" w:rsidRDefault="009560DB" w:rsidP="009560DB">
      <w:r>
        <w:t>Option 2: Build a plant with a flexible technology platform to diversify product offerings.</w:t>
      </w:r>
    </w:p>
    <w:p w14:paraId="6696178C" w14:textId="7FAF14AB" w:rsidR="009560DB" w:rsidRPr="009560DB" w:rsidRDefault="009560DB" w:rsidP="009560DB">
      <w:pPr>
        <w:rPr>
          <w:b/>
          <w:bCs/>
        </w:rPr>
      </w:pPr>
      <w:r>
        <w:rPr>
          <w:b/>
          <w:bCs/>
        </w:rPr>
        <w:t xml:space="preserve">Evaluation </w:t>
      </w:r>
      <w:r w:rsidRPr="009560DB">
        <w:rPr>
          <w:b/>
          <w:bCs/>
        </w:rPr>
        <w:t>Process</w:t>
      </w:r>
    </w:p>
    <w:p w14:paraId="27124CC6" w14:textId="77777777" w:rsidR="009560DB" w:rsidRDefault="009560DB" w:rsidP="009560DB">
      <w:r>
        <w:t>Risk tolerance is incorporated into the investment decision tree as following steps:</w:t>
      </w:r>
    </w:p>
    <w:p w14:paraId="04180586" w14:textId="77777777" w:rsidR="009560DB" w:rsidRDefault="009560DB" w:rsidP="00D81274">
      <w:pPr>
        <w:pStyle w:val="ListParagraph"/>
        <w:numPr>
          <w:ilvl w:val="0"/>
          <w:numId w:val="26"/>
        </w:numPr>
      </w:pPr>
      <w:r>
        <w:lastRenderedPageBreak/>
        <w:t>Utility Function and Risk Tolerance Parameter Calculations</w:t>
      </w:r>
    </w:p>
    <w:p w14:paraId="2898A4FF" w14:textId="77777777" w:rsidR="009560DB" w:rsidRDefault="009560DB" w:rsidP="00D81274">
      <w:pPr>
        <w:pStyle w:val="ListParagraph"/>
        <w:numPr>
          <w:ilvl w:val="0"/>
          <w:numId w:val="27"/>
        </w:numPr>
      </w:pPr>
      <w:r>
        <w:t>Risk Aversion: The decision-makers at the renewable energy company are risk-averse, making the exponential utility function suitable for their risk tolerance modeling.</w:t>
      </w:r>
    </w:p>
    <w:p w14:paraId="137C3F42" w14:textId="2B6B197A" w:rsidR="00F222D4" w:rsidRDefault="009560DB" w:rsidP="00D81274">
      <w:pPr>
        <w:pStyle w:val="ListParagraph"/>
        <w:numPr>
          <w:ilvl w:val="0"/>
          <w:numId w:val="27"/>
        </w:numPr>
      </w:pPr>
      <w:r>
        <w:t>Risk Tolerance Parameter (R): Assuming a company revenue of $500 million and using Ronald Howard's empirical relationship, the risk tolerance parameter is calculated as 6.4% of the revenue, amounting to $32 million</w:t>
      </w:r>
      <w:r w:rsidR="00671C01">
        <w:t>:</w:t>
      </w:r>
      <w:r w:rsidR="00F222D4" w:rsidRPr="00857F76">
        <w:rPr>
          <w:rFonts w:ascii="Cambria Math" w:hAnsi="Cambria Math"/>
          <w:i/>
        </w:rPr>
        <w:br/>
      </w:r>
      <m:oMathPara>
        <m:oMath>
          <m:r>
            <w:rPr>
              <w:rFonts w:ascii="Cambria Math" w:hAnsi="Cambria Math"/>
            </w:rPr>
            <m:t>R=6.4%×$500 million=$32 million</m:t>
          </m:r>
        </m:oMath>
      </m:oMathPara>
    </w:p>
    <w:p w14:paraId="793F5B19" w14:textId="0D466855" w:rsidR="00D7153A" w:rsidRPr="007B767E" w:rsidRDefault="00857F76" w:rsidP="00D81274">
      <w:pPr>
        <w:pStyle w:val="ListParagraph"/>
        <w:numPr>
          <w:ilvl w:val="0"/>
          <w:numId w:val="27"/>
        </w:numPr>
      </w:pPr>
      <w:r w:rsidRPr="00857F76">
        <w:rPr>
          <w:rFonts w:ascii="Cambria Math" w:hAnsi="Cambria Math"/>
        </w:rPr>
        <w:t>Utility Function: The exponential utility function used to convert monetary outcomes into utilities is</w:t>
      </w:r>
      <w:r>
        <w:rPr>
          <w:rFonts w:ascii="Cambria Math" w:hAnsi="Cambria Math"/>
        </w:rPr>
        <w:t>:</w:t>
      </w:r>
      <w:r w:rsidR="005C10C3" w:rsidRPr="005C10C3">
        <w:rPr>
          <w:rFonts w:ascii="Cambria Math" w:hAnsi="Cambria Math"/>
        </w:rPr>
        <w:br/>
      </w:r>
      <m:oMathPara>
        <m:oMath>
          <m:r>
            <m:rPr>
              <m:sty m:val="p"/>
            </m:rPr>
            <w:rPr>
              <w:rFonts w:ascii="Cambria Math" w:hAnsi="Cambria Math"/>
            </w:rPr>
            <m:t>U(x) = 1 -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R</m:t>
                  </m:r>
                </m:den>
              </m:f>
              <m:r>
                <w:rPr>
                  <w:rFonts w:ascii="Cambria Math" w:hAnsi="Cambria Math"/>
                </w:rPr>
                <m:t>)</m:t>
              </m:r>
            </m:sup>
          </m:sSup>
          <m: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32</m:t>
                  </m:r>
                </m:den>
              </m:f>
              <m:r>
                <w:rPr>
                  <w:rFonts w:ascii="Cambria Math" w:hAnsi="Cambria Math"/>
                </w:rPr>
                <m:t>)</m:t>
              </m:r>
            </m:sup>
          </m:sSup>
        </m:oMath>
      </m:oMathPara>
    </w:p>
    <w:p w14:paraId="6F297E65" w14:textId="611D453E" w:rsidR="007B767E" w:rsidRDefault="007B767E" w:rsidP="005C10C3">
      <w:pPr>
        <w:ind w:left="1080"/>
      </w:pPr>
      <w:r>
        <w:rPr>
          <w:rFonts w:eastAsiaTheme="minorEastAsia"/>
        </w:rPr>
        <w:t>H</w:t>
      </w:r>
      <w:r w:rsidR="007A66C1">
        <w:rPr>
          <w:rFonts w:eastAsiaTheme="minorEastAsia"/>
        </w:rPr>
        <w:t>ere</w:t>
      </w:r>
      <w:r w:rsidR="00857F76">
        <w:rPr>
          <w:rFonts w:eastAsiaTheme="minorEastAsia"/>
        </w:rPr>
        <w:t>,</w:t>
      </w:r>
      <w:r w:rsidR="007A66C1">
        <w:rPr>
          <w:rFonts w:eastAsiaTheme="minorEastAsia"/>
        </w:rPr>
        <w:t xml:space="preserve"> X is the value of each possible outcome.</w:t>
      </w:r>
      <w:r w:rsidR="007A66C1">
        <w:t xml:space="preserve"> </w:t>
      </w:r>
    </w:p>
    <w:p w14:paraId="4B16B317" w14:textId="12952085" w:rsidR="00671C01" w:rsidRDefault="007B767E" w:rsidP="00D81274">
      <w:pPr>
        <w:pStyle w:val="ListParagraph"/>
        <w:numPr>
          <w:ilvl w:val="0"/>
          <w:numId w:val="7"/>
        </w:numPr>
      </w:pPr>
      <w:r>
        <w:t>D</w:t>
      </w:r>
      <w:r w:rsidR="00D7153A">
        <w:t xml:space="preserve">ecision </w:t>
      </w:r>
      <w:r>
        <w:t>T</w:t>
      </w:r>
      <w:r w:rsidR="00D7153A">
        <w:t>ree</w:t>
      </w:r>
      <w:r>
        <w:t xml:space="preserve"> </w:t>
      </w:r>
      <w:r w:rsidR="00857F76">
        <w:t>C</w:t>
      </w:r>
      <w:r>
        <w:t>onstruction and Calculation</w:t>
      </w:r>
    </w:p>
    <w:p w14:paraId="0E96BAA8" w14:textId="4C56D9DF" w:rsidR="00D7153A" w:rsidRDefault="0077035D" w:rsidP="00D81274">
      <w:pPr>
        <w:pStyle w:val="ListParagraph"/>
        <w:numPr>
          <w:ilvl w:val="0"/>
          <w:numId w:val="28"/>
        </w:numPr>
      </w:pPr>
      <w:r>
        <w:t xml:space="preserve">These utility values are added </w:t>
      </w:r>
      <w:r w:rsidR="00857F76" w:rsidRPr="00857F76">
        <w:t>to the decision tree model.</w:t>
      </w:r>
    </w:p>
    <w:p w14:paraId="19F1E9B6" w14:textId="54452BC0" w:rsidR="00D7153A" w:rsidRDefault="00D7153A" w:rsidP="00671C01">
      <w:pPr>
        <w:jc w:val="center"/>
      </w:pPr>
      <w:r w:rsidRPr="00212A76">
        <w:rPr>
          <w:rFonts w:ascii="Times New Roman" w:eastAsia="Times New Roman" w:hAnsi="Times New Roman" w:cs="Times New Roman"/>
          <w:noProof/>
          <w:kern w:val="0"/>
          <w:sz w:val="24"/>
          <w:szCs w:val="24"/>
          <w14:ligatures w14:val="none"/>
        </w:rPr>
        <w:drawing>
          <wp:inline distT="0" distB="0" distL="0" distR="0" wp14:anchorId="7BD00B89" wp14:editId="386E63C9">
            <wp:extent cx="3838175" cy="3100885"/>
            <wp:effectExtent l="0" t="0" r="0" b="0"/>
            <wp:docPr id="466624302"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4302" name="Picture 8" descr="A screenshot of a video ga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6652" cy="3123892"/>
                    </a:xfrm>
                    <a:prstGeom prst="rect">
                      <a:avLst/>
                    </a:prstGeom>
                    <a:noFill/>
                    <a:ln>
                      <a:noFill/>
                    </a:ln>
                  </pic:spPr>
                </pic:pic>
              </a:graphicData>
            </a:graphic>
          </wp:inline>
        </w:drawing>
      </w:r>
    </w:p>
    <w:p w14:paraId="4B90D7B3" w14:textId="3FB46DFE" w:rsidR="007B767E" w:rsidRPr="00A44C42" w:rsidRDefault="00857F76" w:rsidP="00D81274">
      <w:pPr>
        <w:pStyle w:val="ListParagraph"/>
        <w:numPr>
          <w:ilvl w:val="0"/>
          <w:numId w:val="28"/>
        </w:numPr>
      </w:pPr>
      <w:r w:rsidRPr="00857F76">
        <w:lastRenderedPageBreak/>
        <w:t>Expected Utility (EU)</w:t>
      </w:r>
      <w:r>
        <w:t xml:space="preserve"> is c</w:t>
      </w:r>
      <w:r w:rsidRPr="00857F76">
        <w:t>alculated by summing the product of the utility of each outcome and its probability.</w:t>
      </w:r>
    </w:p>
    <w:p w14:paraId="4B0CE89E" w14:textId="0B0D5216" w:rsidR="00D7153A" w:rsidRPr="00A44C42" w:rsidRDefault="00A44C42" w:rsidP="00A44C42">
      <w:pPr>
        <w:rPr>
          <w:rFonts w:eastAsiaTheme="minorEastAsia"/>
        </w:rPr>
      </w:pPr>
      <m:oMathPara>
        <m:oMath>
          <m:r>
            <w:rPr>
              <w:rFonts w:ascii="Cambria Math" w:hAnsi="Cambria Math"/>
            </w:rPr>
            <m:t xml:space="preserve">Expected Utility = </m:t>
          </m:r>
          <m:nary>
            <m:naryPr>
              <m:chr m:val="∑"/>
              <m:limLoc m:val="undOvr"/>
              <m:subHide m:val="1"/>
              <m:supHide m:val="1"/>
              <m:ctrlPr>
                <w:rPr>
                  <w:rFonts w:ascii="Cambria Math" w:hAnsi="Cambria Math"/>
                  <w:i/>
                </w:rPr>
              </m:ctrlPr>
            </m:naryPr>
            <m:sub/>
            <m:sup/>
            <m:e>
              <m:r>
                <w:rPr>
                  <w:rFonts w:ascii="Cambria Math" w:hAnsi="Cambria Math"/>
                </w:rPr>
                <m:t>(Utility(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×Probablity</m:t>
                  </m:r>
                </m:e>
                <m:sub>
                  <m:r>
                    <w:rPr>
                      <w:rFonts w:ascii="Cambria Math" w:hAnsi="Cambria Math"/>
                    </w:rPr>
                    <m:t>i</m:t>
                  </m:r>
                </m:sub>
              </m:sSub>
              <m:r>
                <w:rPr>
                  <w:rFonts w:ascii="Cambria Math" w:hAnsi="Cambria Math"/>
                </w:rPr>
                <m:t>)</m:t>
              </m:r>
            </m:e>
          </m:nary>
        </m:oMath>
      </m:oMathPara>
    </w:p>
    <w:p w14:paraId="08FDBC8A" w14:textId="7E1D5A9B" w:rsidR="007B767E" w:rsidRPr="00857F76" w:rsidRDefault="007B767E" w:rsidP="00D81274">
      <w:pPr>
        <w:pStyle w:val="ListParagraph"/>
        <w:numPr>
          <w:ilvl w:val="0"/>
          <w:numId w:val="28"/>
        </w:numPr>
        <w:rPr>
          <w:rFonts w:eastAsiaTheme="minorEastAsia"/>
        </w:rPr>
      </w:pPr>
      <w:r w:rsidRPr="00857F76">
        <w:rPr>
          <w:rStyle w:val="Strong"/>
          <w:b w:val="0"/>
          <w:bCs w:val="0"/>
          <w:color w:val="000000"/>
        </w:rPr>
        <w:t>Certainty</w:t>
      </w:r>
      <w:r w:rsidR="00857F76" w:rsidRPr="00857F76">
        <w:rPr>
          <w:rStyle w:val="Strong"/>
          <w:b w:val="0"/>
          <w:bCs w:val="0"/>
          <w:color w:val="000000"/>
        </w:rPr>
        <w:t>-e</w:t>
      </w:r>
      <w:r w:rsidRPr="00857F76">
        <w:rPr>
          <w:rStyle w:val="Strong"/>
          <w:b w:val="0"/>
          <w:bCs w:val="0"/>
          <w:color w:val="000000"/>
        </w:rPr>
        <w:t>quivalent Value (CEV)</w:t>
      </w:r>
      <w:r w:rsidR="00857F76">
        <w:t xml:space="preserve"> is c</w:t>
      </w:r>
      <w:r w:rsidRPr="00A44C42">
        <w:t>alculated using:</w:t>
      </w:r>
    </w:p>
    <w:p w14:paraId="4EA25297" w14:textId="28460915" w:rsidR="00A44C42" w:rsidRPr="005C10C3" w:rsidRDefault="00A44C42" w:rsidP="005C10C3">
      <w:pPr>
        <w:rPr>
          <w:rFonts w:eastAsiaTheme="minorEastAsia"/>
        </w:rPr>
      </w:pPr>
      <m:oMathPara>
        <m:oMath>
          <m:r>
            <w:rPr>
              <w:rFonts w:ascii="Cambria Math" w:hAnsi="Cambria Math"/>
            </w:rPr>
            <m:t>Certain-equivalent Value = (-R)×</m:t>
          </m:r>
          <m:r>
            <w:rPr>
              <w:rFonts w:ascii="Cambria Math" w:eastAsiaTheme="minorEastAsia" w:hAnsi="Cambria Math"/>
            </w:rPr>
            <m:t>ln(1-EU)</m:t>
          </m:r>
        </m:oMath>
      </m:oMathPara>
    </w:p>
    <w:tbl>
      <w:tblPr>
        <w:tblpPr w:leftFromText="180" w:rightFromText="180" w:vertAnchor="text" w:horzAnchor="margin" w:tblpXSpec="center" w:tblpY="576"/>
        <w:tblW w:w="8640" w:type="dxa"/>
        <w:tblLayout w:type="fixed"/>
        <w:tblCellMar>
          <w:top w:w="72" w:type="dxa"/>
          <w:bottom w:w="72" w:type="dxa"/>
        </w:tblCellMar>
        <w:tblLook w:val="04A0" w:firstRow="1" w:lastRow="0" w:firstColumn="1" w:lastColumn="0" w:noHBand="0" w:noVBand="1"/>
      </w:tblPr>
      <w:tblGrid>
        <w:gridCol w:w="2965"/>
        <w:gridCol w:w="1530"/>
        <w:gridCol w:w="1530"/>
        <w:gridCol w:w="2615"/>
      </w:tblGrid>
      <w:tr w:rsidR="00A44C42" w:rsidRPr="005C10C3" w14:paraId="48ECE53D" w14:textId="77777777" w:rsidTr="005C10C3">
        <w:trPr>
          <w:trHeight w:val="300"/>
        </w:trPr>
        <w:tc>
          <w:tcPr>
            <w:tcW w:w="2965" w:type="dxa"/>
            <w:tcBorders>
              <w:top w:val="single" w:sz="4" w:space="0" w:color="61CBF3"/>
              <w:left w:val="single" w:sz="4" w:space="0" w:color="61CBF3"/>
              <w:bottom w:val="single" w:sz="4" w:space="0" w:color="61CBF3"/>
              <w:right w:val="nil"/>
            </w:tcBorders>
            <w:shd w:val="clear" w:color="0F9ED5" w:fill="0F9ED5"/>
            <w:noWrap/>
            <w:vAlign w:val="center"/>
            <w:hideMark/>
          </w:tcPr>
          <w:p w14:paraId="52AD342C" w14:textId="77777777" w:rsidR="00A44C42" w:rsidRPr="005C10C3" w:rsidRDefault="00A44C42" w:rsidP="00A44C42">
            <w:pPr>
              <w:spacing w:before="0" w:after="0" w:line="240" w:lineRule="auto"/>
              <w:jc w:val="center"/>
              <w:rPr>
                <w:rFonts w:eastAsia="Times New Roman" w:cstheme="minorHAnsi"/>
                <w:b/>
                <w:bCs/>
                <w:color w:val="FFFFFF"/>
                <w:kern w:val="0"/>
                <w14:ligatures w14:val="none"/>
              </w:rPr>
            </w:pPr>
            <w:r w:rsidRPr="005C10C3">
              <w:rPr>
                <w:rFonts w:eastAsia="Times New Roman" w:cstheme="minorHAnsi"/>
                <w:b/>
                <w:bCs/>
                <w:color w:val="FFFFFF"/>
                <w:kern w:val="0"/>
                <w14:ligatures w14:val="none"/>
              </w:rPr>
              <w:t>Risk Tolerance</w:t>
            </w:r>
          </w:p>
        </w:tc>
        <w:tc>
          <w:tcPr>
            <w:tcW w:w="1530" w:type="dxa"/>
            <w:tcBorders>
              <w:top w:val="single" w:sz="4" w:space="0" w:color="61CBF3"/>
              <w:left w:val="nil"/>
              <w:bottom w:val="single" w:sz="4" w:space="0" w:color="61CBF3"/>
              <w:right w:val="nil"/>
            </w:tcBorders>
            <w:shd w:val="clear" w:color="0F9ED5" w:fill="0F9ED5"/>
            <w:noWrap/>
            <w:vAlign w:val="center"/>
            <w:hideMark/>
          </w:tcPr>
          <w:p w14:paraId="59B7693B" w14:textId="77777777" w:rsidR="00A44C42" w:rsidRPr="005C10C3" w:rsidRDefault="00A44C42" w:rsidP="00A44C42">
            <w:pPr>
              <w:spacing w:before="0" w:after="0" w:line="240" w:lineRule="auto"/>
              <w:jc w:val="center"/>
              <w:rPr>
                <w:rFonts w:eastAsia="Times New Roman" w:cstheme="minorHAnsi"/>
                <w:b/>
                <w:bCs/>
                <w:color w:val="FFFFFF"/>
                <w:kern w:val="0"/>
                <w14:ligatures w14:val="none"/>
              </w:rPr>
            </w:pPr>
            <w:r w:rsidRPr="005C10C3">
              <w:rPr>
                <w:rFonts w:eastAsia="Times New Roman" w:cstheme="minorHAnsi"/>
                <w:b/>
                <w:bCs/>
                <w:color w:val="FFFFFF"/>
                <w:kern w:val="0"/>
                <w14:ligatures w14:val="none"/>
              </w:rPr>
              <w:t>Current platform</w:t>
            </w:r>
          </w:p>
        </w:tc>
        <w:tc>
          <w:tcPr>
            <w:tcW w:w="1530" w:type="dxa"/>
            <w:tcBorders>
              <w:top w:val="single" w:sz="4" w:space="0" w:color="61CBF3"/>
              <w:left w:val="nil"/>
              <w:bottom w:val="single" w:sz="4" w:space="0" w:color="61CBF3"/>
              <w:right w:val="nil"/>
            </w:tcBorders>
            <w:shd w:val="clear" w:color="0F9ED5" w:fill="0F9ED5"/>
            <w:noWrap/>
            <w:vAlign w:val="center"/>
            <w:hideMark/>
          </w:tcPr>
          <w:p w14:paraId="6C4CCFD4" w14:textId="77777777" w:rsidR="00A44C42" w:rsidRPr="005C10C3" w:rsidRDefault="00A44C42" w:rsidP="00A44C42">
            <w:pPr>
              <w:spacing w:before="0" w:after="0" w:line="240" w:lineRule="auto"/>
              <w:jc w:val="center"/>
              <w:rPr>
                <w:rFonts w:eastAsia="Times New Roman" w:cstheme="minorHAnsi"/>
                <w:b/>
                <w:bCs/>
                <w:color w:val="FFFFFF"/>
                <w:kern w:val="0"/>
                <w14:ligatures w14:val="none"/>
              </w:rPr>
            </w:pPr>
            <w:r w:rsidRPr="005C10C3">
              <w:rPr>
                <w:rFonts w:eastAsia="Times New Roman" w:cstheme="minorHAnsi"/>
                <w:b/>
                <w:bCs/>
                <w:color w:val="FFFFFF"/>
                <w:kern w:val="0"/>
                <w14:ligatures w14:val="none"/>
              </w:rPr>
              <w:t>Alternative platform</w:t>
            </w:r>
          </w:p>
        </w:tc>
        <w:tc>
          <w:tcPr>
            <w:tcW w:w="2615" w:type="dxa"/>
            <w:tcBorders>
              <w:top w:val="single" w:sz="4" w:space="0" w:color="61CBF3"/>
              <w:left w:val="nil"/>
              <w:bottom w:val="single" w:sz="4" w:space="0" w:color="61CBF3"/>
              <w:right w:val="single" w:sz="4" w:space="0" w:color="61CBF3"/>
            </w:tcBorders>
            <w:shd w:val="clear" w:color="0F9ED5" w:fill="0F9ED5"/>
            <w:noWrap/>
            <w:vAlign w:val="center"/>
            <w:hideMark/>
          </w:tcPr>
          <w:p w14:paraId="59CDD839" w14:textId="77777777" w:rsidR="00A44C42" w:rsidRPr="005C10C3" w:rsidRDefault="00A44C42" w:rsidP="00A44C42">
            <w:pPr>
              <w:spacing w:before="0" w:after="0" w:line="240" w:lineRule="auto"/>
              <w:jc w:val="center"/>
              <w:rPr>
                <w:rFonts w:eastAsia="Times New Roman" w:cstheme="minorHAnsi"/>
                <w:b/>
                <w:bCs/>
                <w:color w:val="FFFFFF"/>
                <w:kern w:val="0"/>
                <w14:ligatures w14:val="none"/>
              </w:rPr>
            </w:pPr>
            <w:r w:rsidRPr="005C10C3">
              <w:rPr>
                <w:rFonts w:eastAsia="Times New Roman" w:cstheme="minorHAnsi"/>
                <w:b/>
                <w:bCs/>
                <w:color w:val="FFFFFF"/>
                <w:kern w:val="0"/>
                <w14:ligatures w14:val="none"/>
              </w:rPr>
              <w:t>Perceived incremental value of alternative</w:t>
            </w:r>
          </w:p>
        </w:tc>
      </w:tr>
      <w:tr w:rsidR="00A44C42" w:rsidRPr="005C10C3" w14:paraId="141943C4" w14:textId="77777777" w:rsidTr="005C10C3">
        <w:trPr>
          <w:trHeight w:val="315"/>
        </w:trPr>
        <w:tc>
          <w:tcPr>
            <w:tcW w:w="2965" w:type="dxa"/>
            <w:tcBorders>
              <w:top w:val="single" w:sz="4" w:space="0" w:color="61CBF3"/>
              <w:left w:val="single" w:sz="4" w:space="0" w:color="61CBF3"/>
              <w:bottom w:val="single" w:sz="4" w:space="0" w:color="61CBF3"/>
              <w:right w:val="nil"/>
            </w:tcBorders>
            <w:shd w:val="clear" w:color="CAEDFB" w:fill="CAEDFB"/>
            <w:noWrap/>
            <w:vAlign w:val="center"/>
            <w:hideMark/>
          </w:tcPr>
          <w:p w14:paraId="43232988" w14:textId="4B9BFB38"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Risk-</w:t>
            </w:r>
            <w:r w:rsidR="00671C01" w:rsidRPr="005C10C3">
              <w:rPr>
                <w:rFonts w:eastAsia="Times New Roman" w:cstheme="minorHAnsi"/>
                <w:color w:val="000000"/>
                <w:kern w:val="0"/>
                <w14:ligatures w14:val="none"/>
              </w:rPr>
              <w:t>A</w:t>
            </w:r>
            <w:r w:rsidRPr="005C10C3">
              <w:rPr>
                <w:rFonts w:eastAsia="Times New Roman" w:cstheme="minorHAnsi"/>
                <w:color w:val="000000"/>
                <w:kern w:val="0"/>
                <w14:ligatures w14:val="none"/>
              </w:rPr>
              <w:t>verse expected CEV</w:t>
            </w:r>
          </w:p>
        </w:tc>
        <w:tc>
          <w:tcPr>
            <w:tcW w:w="1530" w:type="dxa"/>
            <w:tcBorders>
              <w:top w:val="single" w:sz="4" w:space="0" w:color="61CBF3"/>
              <w:left w:val="nil"/>
              <w:bottom w:val="single" w:sz="4" w:space="0" w:color="61CBF3"/>
              <w:right w:val="nil"/>
            </w:tcBorders>
            <w:shd w:val="clear" w:color="CAEDFB" w:fill="CAEDFB"/>
            <w:noWrap/>
            <w:vAlign w:val="center"/>
            <w:hideMark/>
          </w:tcPr>
          <w:p w14:paraId="36FD0E1D" w14:textId="77777777"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$10.06</w:t>
            </w:r>
          </w:p>
        </w:tc>
        <w:tc>
          <w:tcPr>
            <w:tcW w:w="1530" w:type="dxa"/>
            <w:tcBorders>
              <w:top w:val="single" w:sz="4" w:space="0" w:color="61CBF3"/>
              <w:left w:val="nil"/>
              <w:bottom w:val="single" w:sz="4" w:space="0" w:color="61CBF3"/>
              <w:right w:val="nil"/>
            </w:tcBorders>
            <w:shd w:val="clear" w:color="CAEDFB" w:fill="CAEDFB"/>
            <w:noWrap/>
            <w:vAlign w:val="center"/>
            <w:hideMark/>
          </w:tcPr>
          <w:p w14:paraId="251341DB" w14:textId="77777777"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$11.05</w:t>
            </w:r>
          </w:p>
        </w:tc>
        <w:tc>
          <w:tcPr>
            <w:tcW w:w="2615" w:type="dxa"/>
            <w:tcBorders>
              <w:top w:val="single" w:sz="4" w:space="0" w:color="61CBF3"/>
              <w:left w:val="nil"/>
              <w:bottom w:val="single" w:sz="4" w:space="0" w:color="61CBF3"/>
              <w:right w:val="single" w:sz="4" w:space="0" w:color="61CBF3"/>
            </w:tcBorders>
            <w:shd w:val="clear" w:color="CAEDFB" w:fill="CAEDFB"/>
            <w:noWrap/>
            <w:vAlign w:val="center"/>
            <w:hideMark/>
          </w:tcPr>
          <w:p w14:paraId="6ED247CC" w14:textId="77777777"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$0.99</w:t>
            </w:r>
          </w:p>
        </w:tc>
      </w:tr>
      <w:tr w:rsidR="00A44C42" w:rsidRPr="005C10C3" w14:paraId="72C8A7B5" w14:textId="77777777" w:rsidTr="005C10C3">
        <w:trPr>
          <w:trHeight w:val="330"/>
        </w:trPr>
        <w:tc>
          <w:tcPr>
            <w:tcW w:w="2965" w:type="dxa"/>
            <w:tcBorders>
              <w:top w:val="single" w:sz="4" w:space="0" w:color="61CBF3"/>
              <w:left w:val="single" w:sz="4" w:space="0" w:color="61CBF3"/>
              <w:bottom w:val="single" w:sz="4" w:space="0" w:color="61CBF3"/>
              <w:right w:val="nil"/>
            </w:tcBorders>
            <w:shd w:val="clear" w:color="auto" w:fill="auto"/>
            <w:noWrap/>
            <w:vAlign w:val="center"/>
            <w:hideMark/>
          </w:tcPr>
          <w:p w14:paraId="284963FC" w14:textId="03B0F053"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Risk</w:t>
            </w:r>
            <w:r w:rsidR="00671C01" w:rsidRPr="005C10C3">
              <w:rPr>
                <w:rFonts w:eastAsia="Times New Roman" w:cstheme="minorHAnsi"/>
                <w:color w:val="000000"/>
                <w:kern w:val="0"/>
                <w14:ligatures w14:val="none"/>
              </w:rPr>
              <w:t>-N</w:t>
            </w:r>
            <w:r w:rsidRPr="005C10C3">
              <w:rPr>
                <w:rFonts w:eastAsia="Times New Roman" w:cstheme="minorHAnsi"/>
                <w:color w:val="000000"/>
                <w:kern w:val="0"/>
                <w14:ligatures w14:val="none"/>
              </w:rPr>
              <w:t>eutral expected value</w:t>
            </w:r>
          </w:p>
        </w:tc>
        <w:tc>
          <w:tcPr>
            <w:tcW w:w="1530" w:type="dxa"/>
            <w:tcBorders>
              <w:top w:val="single" w:sz="4" w:space="0" w:color="61CBF3"/>
              <w:left w:val="nil"/>
              <w:bottom w:val="single" w:sz="4" w:space="0" w:color="61CBF3"/>
              <w:right w:val="nil"/>
            </w:tcBorders>
            <w:shd w:val="clear" w:color="auto" w:fill="auto"/>
            <w:noWrap/>
            <w:vAlign w:val="center"/>
            <w:hideMark/>
          </w:tcPr>
          <w:p w14:paraId="228D93B7" w14:textId="77777777"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$14.13</w:t>
            </w:r>
          </w:p>
        </w:tc>
        <w:tc>
          <w:tcPr>
            <w:tcW w:w="1530" w:type="dxa"/>
            <w:tcBorders>
              <w:top w:val="single" w:sz="4" w:space="0" w:color="61CBF3"/>
              <w:left w:val="nil"/>
              <w:bottom w:val="single" w:sz="4" w:space="0" w:color="61CBF3"/>
              <w:right w:val="nil"/>
            </w:tcBorders>
            <w:shd w:val="clear" w:color="auto" w:fill="auto"/>
            <w:noWrap/>
            <w:vAlign w:val="center"/>
            <w:hideMark/>
          </w:tcPr>
          <w:p w14:paraId="2C688CCD" w14:textId="77777777"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$13.10</w:t>
            </w:r>
          </w:p>
        </w:tc>
        <w:tc>
          <w:tcPr>
            <w:tcW w:w="2615" w:type="dxa"/>
            <w:tcBorders>
              <w:top w:val="single" w:sz="4" w:space="0" w:color="61CBF3"/>
              <w:left w:val="nil"/>
              <w:bottom w:val="single" w:sz="4" w:space="0" w:color="61CBF3"/>
              <w:right w:val="single" w:sz="4" w:space="0" w:color="61CBF3"/>
            </w:tcBorders>
            <w:shd w:val="clear" w:color="auto" w:fill="auto"/>
            <w:noWrap/>
            <w:vAlign w:val="center"/>
            <w:hideMark/>
          </w:tcPr>
          <w:p w14:paraId="41EE6C97" w14:textId="77777777" w:rsidR="00A44C42" w:rsidRPr="005C10C3" w:rsidRDefault="00A44C42" w:rsidP="00A44C42">
            <w:pPr>
              <w:spacing w:before="0" w:after="0" w:line="240" w:lineRule="auto"/>
              <w:jc w:val="center"/>
              <w:rPr>
                <w:rFonts w:eastAsia="Times New Roman" w:cstheme="minorHAnsi"/>
                <w:color w:val="000000"/>
                <w:kern w:val="0"/>
                <w14:ligatures w14:val="none"/>
              </w:rPr>
            </w:pPr>
            <w:r w:rsidRPr="005C10C3">
              <w:rPr>
                <w:rFonts w:eastAsia="Times New Roman" w:cstheme="minorHAnsi"/>
                <w:color w:val="000000"/>
                <w:kern w:val="0"/>
                <w14:ligatures w14:val="none"/>
              </w:rPr>
              <w:t>-$1.03</w:t>
            </w:r>
          </w:p>
        </w:tc>
      </w:tr>
    </w:tbl>
    <w:p w14:paraId="5B0783A4" w14:textId="5123CCA3" w:rsidR="00D7153A" w:rsidRDefault="00A44C42" w:rsidP="00D81274">
      <w:pPr>
        <w:pStyle w:val="ListParagraph"/>
        <w:numPr>
          <w:ilvl w:val="0"/>
          <w:numId w:val="7"/>
        </w:numPr>
      </w:pPr>
      <w:r>
        <w:t>D</w:t>
      </w:r>
      <w:r w:rsidR="007B767E">
        <w:t>ecision-tree analysis results</w:t>
      </w:r>
    </w:p>
    <w:p w14:paraId="331FC34D" w14:textId="77777777" w:rsidR="00857F76" w:rsidRDefault="00857F76" w:rsidP="00857F76"/>
    <w:p w14:paraId="5BB7FA0A" w14:textId="77777777" w:rsidR="00857F76" w:rsidRPr="00857F76" w:rsidRDefault="00857F76" w:rsidP="00857F76">
      <w:pPr>
        <w:rPr>
          <w:b/>
          <w:bCs/>
        </w:rPr>
      </w:pPr>
      <w:r w:rsidRPr="00857F76">
        <w:rPr>
          <w:b/>
          <w:bCs/>
        </w:rPr>
        <w:t>Findings</w:t>
      </w:r>
    </w:p>
    <w:p w14:paraId="0FB62C4D" w14:textId="32394FD2" w:rsidR="00857F76" w:rsidRDefault="00857F76" w:rsidP="00857F76">
      <w:r>
        <w:t xml:space="preserve">Decision makers with different risk tolerances might make a distinct choice that matches their risk appetite. </w:t>
      </w:r>
    </w:p>
    <w:p w14:paraId="5ACE370D" w14:textId="03444308" w:rsidR="00857F76" w:rsidRDefault="00857F76" w:rsidP="00D81274">
      <w:pPr>
        <w:pStyle w:val="ListParagraph"/>
        <w:numPr>
          <w:ilvl w:val="0"/>
          <w:numId w:val="28"/>
        </w:numPr>
      </w:pPr>
      <w:r>
        <w:t>Risk-averse Decision-makers: They prefer the alternative technology due to its stability and predictability, which aligns with their risk-averse nature. Despite a slightly higher expected value from Option 1, the additional $0.99 million perceived value of the alternative technology reflects its appeal in reducing potential losses in worst-case scenarios.</w:t>
      </w:r>
    </w:p>
    <w:p w14:paraId="3422C697" w14:textId="16507479" w:rsidR="00857F76" w:rsidRDefault="00857F76" w:rsidP="00D81274">
      <w:pPr>
        <w:pStyle w:val="ListParagraph"/>
        <w:numPr>
          <w:ilvl w:val="0"/>
          <w:numId w:val="28"/>
        </w:numPr>
      </w:pPr>
      <w:r>
        <w:t>Risk-neutral Decision-makers: They view the alternative technology less favorably, perceiving a $1.03 million reduction in expected value compared to the cost-optimized option.</w:t>
      </w:r>
    </w:p>
    <w:p w14:paraId="0D552C5C" w14:textId="4A2D6927" w:rsidR="00857F76" w:rsidRDefault="00857F76" w:rsidP="00857F76">
      <w:r>
        <w:t xml:space="preserve">This case study demonstrates how integrating risk tolerance into decision-making influences investment choices. Risk-averse decision-makers prioritize stability and reduced potential losses, making the alternative technology more attractive despite its lower expected value. In contrast, risk-neutral </w:t>
      </w:r>
      <w:r>
        <w:lastRenderedPageBreak/>
        <w:t xml:space="preserve">decision-makers focus on higher returns, leading them to prefer the cost-optimized option despite its </w:t>
      </w:r>
      <w:r w:rsidR="0077035D">
        <w:t>more significant</w:t>
      </w:r>
      <w:r>
        <w:t xml:space="preserve"> risk. This case highlights how varying risk preferences can affect perceptions of value and decision outcomes. The analysis underscores the importance of incorporating risk tolerance into decision models, offering </w:t>
      </w:r>
      <w:r w:rsidR="003914B6">
        <w:t>more profound</w:t>
      </w:r>
      <w:r>
        <w:t xml:space="preserve"> insight into how different risk profiles can shape investment decisions.</w:t>
      </w:r>
    </w:p>
    <w:p w14:paraId="5D34C1D8" w14:textId="77777777" w:rsidR="005C10C3" w:rsidRDefault="005C10C3" w:rsidP="00D7153A"/>
    <w:p w14:paraId="0222064B" w14:textId="779845B1" w:rsidR="00BD1E92" w:rsidRDefault="0077035D" w:rsidP="00BD1E92">
      <w:pPr>
        <w:pStyle w:val="Heading2"/>
      </w:pPr>
      <w:bookmarkStart w:id="74" w:name="_Toc191026943"/>
      <w:r>
        <w:t>Summary: T</w:t>
      </w:r>
      <w:r w:rsidR="00BD1E92">
        <w:t>he Power of Decision Trees for Uncertainty</w:t>
      </w:r>
      <w:r>
        <w:t xml:space="preserve"> Analysis</w:t>
      </w:r>
      <w:bookmarkEnd w:id="74"/>
    </w:p>
    <w:p w14:paraId="492738CE" w14:textId="5BB21EDA" w:rsidR="0077035D" w:rsidRDefault="0077035D" w:rsidP="0077035D">
      <w:r>
        <w:t>Decision-making under uncertainty is a core challenge faced by decision-makers. Decision trees offer a visual and systematic tool that enhances decision-making by clearly mapping out choices, uncertainties, and outcomes.</w:t>
      </w:r>
    </w:p>
    <w:p w14:paraId="00BB1BC5" w14:textId="77777777" w:rsidR="0077035D" w:rsidRDefault="0077035D" w:rsidP="0077035D">
      <w:r>
        <w:t>The expected value represents the average outcome when the future holds multiple possibilities. Calculating each outcome by probability, the expected value method helps quantify and compare different options' potential benefits and costs. This method is integral to decision tree analysis, allowing decision-makers to see the anticipated consequences of each option.</w:t>
      </w:r>
    </w:p>
    <w:p w14:paraId="54596163" w14:textId="6CB7C510" w:rsidR="0077035D" w:rsidRDefault="0077035D" w:rsidP="0077035D">
      <w:r>
        <w:t>The utility function adds another level of sophistication to analytical decision-making for real-world situations where human perception plays a significant role. Individual risk tolerance influences how options are valued, and while objective analysis provides crucial insights, the decision-maker's comfort with risk often shapes the final decision. Unlike the expected value method, which assumes a neutral stance toward risk, utility functions reflect how decision-makers value different outcomes based on risk tolerance.</w:t>
      </w:r>
    </w:p>
    <w:p w14:paraId="1E2120C3" w14:textId="36DF712A" w:rsidR="0077035D" w:rsidRDefault="0077035D" w:rsidP="0077035D">
      <w:r>
        <w:t xml:space="preserve">Integrating risk-utility functions into decision trees allows companies to balance objective data with subjective preferences, leading to more realistic decision-making outcomes. This approach ensures that </w:t>
      </w:r>
      <w:r>
        <w:lastRenderedPageBreak/>
        <w:t>human judgment is considered in the analytical process, enhancing decisions' practical relevance and acceptance.</w:t>
      </w:r>
    </w:p>
    <w:p w14:paraId="21726B0E" w14:textId="35FAB65F" w:rsidR="00A42FA5" w:rsidRDefault="00A42FA5" w:rsidP="00BD1E92">
      <w:r>
        <w:br w:type="page"/>
      </w:r>
    </w:p>
    <w:p w14:paraId="6D65C4C7" w14:textId="65BEB8D6" w:rsidR="005E464A" w:rsidRDefault="004826B3" w:rsidP="005E464A">
      <w:pPr>
        <w:pStyle w:val="Heading1"/>
      </w:pPr>
      <w:bookmarkStart w:id="75" w:name="_Toc191026944"/>
      <w:bookmarkStart w:id="76" w:name="_Hlk171193569"/>
      <w:r>
        <w:lastRenderedPageBreak/>
        <w:t>Simulation</w:t>
      </w:r>
      <w:r w:rsidR="00C2199B">
        <w:t xml:space="preserve">: </w:t>
      </w:r>
      <w:r w:rsidR="008D4ECA">
        <w:t xml:space="preserve">Model Uncertainty </w:t>
      </w:r>
      <w:r w:rsidR="00904A6B">
        <w:t>F</w:t>
      </w:r>
      <w:r w:rsidR="008D4ECA">
        <w:t>or Decision</w:t>
      </w:r>
      <w:r w:rsidR="00340EA3">
        <w:t>-</w:t>
      </w:r>
      <w:r w:rsidR="008D4ECA">
        <w:t>Making</w:t>
      </w:r>
      <w:bookmarkStart w:id="77" w:name="_Hlk162510433"/>
      <w:bookmarkEnd w:id="75"/>
    </w:p>
    <w:p w14:paraId="575020BB" w14:textId="77777777" w:rsidR="00904A6B" w:rsidRDefault="00904A6B" w:rsidP="00904A6B">
      <w:r>
        <w:t>The previous chapter explored decision trees as a tool for mapping choices and assessing outcomes based on known probabilities. However, when dealing with interdependent variables or unpredictable changes, simulations provide a way to model a broader range of possibilities, capturing complexities that decision trees might miss.</w:t>
      </w:r>
    </w:p>
    <w:p w14:paraId="380499C6" w14:textId="77777777" w:rsidR="00904A6B" w:rsidRDefault="00904A6B" w:rsidP="00904A6B">
      <w:r>
        <w:t>Simulations differ from decision trees in both purpose and application. Decision trees effectively analyze sequential decisions with clear outcomes, while simulations assess the broader impact of multiple interrelated variables. By generating various possible outcomes through statistical analysis, simulations help decision-makers understand variability and potential risks in uncertain conditions.</w:t>
      </w:r>
    </w:p>
    <w:p w14:paraId="01B0C1A3" w14:textId="2B7635B8" w:rsidR="00761BCF" w:rsidRDefault="00904A6B" w:rsidP="00904A6B">
      <w:r>
        <w:t xml:space="preserve">For instance, a decision tree might identify the best action based on specific market scenarios in business decisions. In contrast, a simulation can evaluate broader market changes, like fluctuating demand or evolving competition. This approach allows decision-makers to test strategies in a simulated environment, gaining insights into potential futures and preparing for a </w:t>
      </w:r>
      <w:r w:rsidR="003914B6">
        <w:t>more comprehensive</w:t>
      </w:r>
      <w:r>
        <w:t xml:space="preserve"> array of scenarios</w:t>
      </w:r>
      <w:r w:rsidR="00761BCF">
        <w:t>.</w:t>
      </w:r>
    </w:p>
    <w:p w14:paraId="132D3664" w14:textId="77777777" w:rsidR="00904A6B" w:rsidRDefault="00904A6B" w:rsidP="00904A6B"/>
    <w:p w14:paraId="0A960ECF" w14:textId="2D3F12CF" w:rsidR="00761BCF" w:rsidRDefault="00761BCF" w:rsidP="00761BCF">
      <w:pPr>
        <w:pStyle w:val="Heading2"/>
      </w:pPr>
      <w:bookmarkStart w:id="78" w:name="_Toc191026945"/>
      <w:r>
        <w:t>Scenario Analysis</w:t>
      </w:r>
      <w:bookmarkEnd w:id="78"/>
    </w:p>
    <w:p w14:paraId="75A13DE6" w14:textId="77777777" w:rsidR="00904A6B" w:rsidRDefault="00904A6B" w:rsidP="00904A6B">
      <w:r>
        <w:t>Scenario or "what-if" analysis offers a more straightforward yet insightful approach to exploring potential outcomes. It serves as a bridge between decision trees and simulations. It helps organizations evaluate the effects of different market conditions on their operations and decisions, enabling them to identify risks and opportunities, assess strategy viability, and clarify decision-making.</w:t>
      </w:r>
    </w:p>
    <w:p w14:paraId="45D08B1A" w14:textId="00D91B12" w:rsidR="00904A6B" w:rsidRDefault="00904A6B" w:rsidP="00904A6B">
      <w:r>
        <w:t>Purposes of scenario analysis include:</w:t>
      </w:r>
    </w:p>
    <w:p w14:paraId="6C7549AC" w14:textId="77777777" w:rsidR="00904A6B" w:rsidRDefault="00904A6B" w:rsidP="00D81274">
      <w:pPr>
        <w:pStyle w:val="ListParagraph"/>
        <w:numPr>
          <w:ilvl w:val="0"/>
          <w:numId w:val="30"/>
        </w:numPr>
      </w:pPr>
      <w:r>
        <w:lastRenderedPageBreak/>
        <w:t>Proactive Planning: By preparing for various future scenarios, businesses can reduce surprises and position themselves to capitalize on opportunities in a fluctuating market.</w:t>
      </w:r>
    </w:p>
    <w:p w14:paraId="6A983488" w14:textId="77777777" w:rsidR="00904A6B" w:rsidRDefault="00904A6B" w:rsidP="00D81274">
      <w:pPr>
        <w:pStyle w:val="ListParagraph"/>
        <w:numPr>
          <w:ilvl w:val="0"/>
          <w:numId w:val="30"/>
        </w:numPr>
      </w:pPr>
      <w:r>
        <w:t>Adaptive Culture: Recognizing market dynamics and scenario analysis fosters adaptability and resilience, enabling businesses to navigate change confidently.</w:t>
      </w:r>
    </w:p>
    <w:p w14:paraId="6C2438B8" w14:textId="77777777" w:rsidR="00904A6B" w:rsidRDefault="00904A6B" w:rsidP="00D81274">
      <w:pPr>
        <w:pStyle w:val="ListParagraph"/>
        <w:numPr>
          <w:ilvl w:val="0"/>
          <w:numId w:val="30"/>
        </w:numPr>
      </w:pPr>
      <w:r>
        <w:t>Structured Decision-Making: Scenario analysis provides a framework for evaluating decisions, ensuring decision-making based on a comprehensive understanding of their impacts.</w:t>
      </w:r>
    </w:p>
    <w:p w14:paraId="78826581" w14:textId="69C83B50" w:rsidR="00761BCF" w:rsidRDefault="00904A6B" w:rsidP="00904A6B">
      <w:r>
        <w:t>Scenario analysis is more than just a planning tool; it guides businesses through market complexities with agility and readiness, positioning them to excel amidst uncertainty</w:t>
      </w:r>
      <w:r w:rsidR="00761BCF">
        <w:t>.</w:t>
      </w:r>
    </w:p>
    <w:p w14:paraId="30460789" w14:textId="16F9F58D" w:rsidR="00761BCF" w:rsidRDefault="00761BCF" w:rsidP="00761BCF">
      <w:pPr>
        <w:pStyle w:val="Heading3"/>
      </w:pPr>
      <w:r>
        <w:t>Best</w:t>
      </w:r>
      <w:r w:rsidR="00904A6B">
        <w:t xml:space="preserve"> </w:t>
      </w:r>
      <w:r>
        <w:t>Case, Worst</w:t>
      </w:r>
      <w:r w:rsidR="00904A6B">
        <w:t xml:space="preserve"> </w:t>
      </w:r>
      <w:r>
        <w:t>Case, and Most</w:t>
      </w:r>
      <w:r w:rsidR="00904A6B">
        <w:t xml:space="preserve"> </w:t>
      </w:r>
      <w:r>
        <w:t>Likely Case</w:t>
      </w:r>
    </w:p>
    <w:p w14:paraId="248E2492" w14:textId="77777777" w:rsidR="00904A6B" w:rsidRDefault="00904A6B" w:rsidP="00904A6B">
      <w:r>
        <w:t>Business planning with scenario analysis often begins with three cornerstone scenarios: the best, worst, and most likely.</w:t>
      </w:r>
    </w:p>
    <w:p w14:paraId="7C1DB600" w14:textId="77777777" w:rsidR="00904A6B" w:rsidRDefault="00904A6B" w:rsidP="00904A6B">
      <w:r>
        <w:t>Best-Case Scenario: This scenario envisions the most optimistic outcome, where resource utilization is optimal and the highest benefits are achieved. It encourages businesses to set ambitious targets while balancing optimism with caution.</w:t>
      </w:r>
    </w:p>
    <w:p w14:paraId="1ADC0A59" w14:textId="77777777" w:rsidR="00904A6B" w:rsidRDefault="00904A6B" w:rsidP="00904A6B">
      <w:r>
        <w:t>Worst-case scenario: Anticipates the most adverse conditions, forming the basis for risk management. It helps businesses develop contingency plans and resilience, ensuring a proactive approach to challenges.</w:t>
      </w:r>
    </w:p>
    <w:p w14:paraId="0685C4FD" w14:textId="77777777" w:rsidR="00904A6B" w:rsidRDefault="00904A6B" w:rsidP="00904A6B">
      <w:r>
        <w:t>Most-Likely Case: This scenario provides a balanced projection considering opportunities and challenges. It helps businesses set realistic goals and create grounded strategies.</w:t>
      </w:r>
    </w:p>
    <w:p w14:paraId="4CA42F40" w14:textId="1B7C40AB" w:rsidR="00761BCF" w:rsidRDefault="00904A6B" w:rsidP="00904A6B">
      <w:r>
        <w:t>By integrating these scenarios, businesses can explore the full spectrum of potential futures—balancing optimism and caution to make informed decisions in a constantly changing environment</w:t>
      </w:r>
      <w:r w:rsidR="00761BCF">
        <w:t>.</w:t>
      </w:r>
    </w:p>
    <w:p w14:paraId="3D624377" w14:textId="5F266EB6" w:rsidR="00761BCF" w:rsidRDefault="00761BCF" w:rsidP="00761BCF">
      <w:pPr>
        <w:pStyle w:val="Heading3"/>
      </w:pPr>
      <w:r>
        <w:lastRenderedPageBreak/>
        <w:t>Business Scenario Forecasting</w:t>
      </w:r>
    </w:p>
    <w:p w14:paraId="142D7F88" w14:textId="77777777" w:rsidR="00904A6B" w:rsidRDefault="00904A6B" w:rsidP="00904A6B">
      <w:r>
        <w:t>Forecasting business scenarios, including best, worst, and likely cases, enables companies to anticipate outcomes and mitigate risks. Various forecasting methods are available depending on the situation, each offering unique advantages based on data availability, desired accuracy, and time horizon.</w:t>
      </w:r>
    </w:p>
    <w:p w14:paraId="308242F9" w14:textId="77777777" w:rsidR="00904A6B" w:rsidRDefault="00904A6B" w:rsidP="00D81274">
      <w:pPr>
        <w:pStyle w:val="ListParagraph"/>
        <w:numPr>
          <w:ilvl w:val="0"/>
          <w:numId w:val="31"/>
        </w:numPr>
      </w:pPr>
      <w:r>
        <w:t>Qualitative Forecasting: Suitable when data is limited or unreliable, relying on managerial judgment and techniques like market surveys. These methods are quick and inexpensive but generally less accurate, making them ideal for short-term forecasts.</w:t>
      </w:r>
    </w:p>
    <w:p w14:paraId="105017A3" w14:textId="77777777" w:rsidR="00904A6B" w:rsidRDefault="00904A6B" w:rsidP="00D81274">
      <w:pPr>
        <w:pStyle w:val="ListParagraph"/>
        <w:numPr>
          <w:ilvl w:val="0"/>
          <w:numId w:val="31"/>
        </w:numPr>
      </w:pPr>
      <w:r>
        <w:t>Quantitative Forecasting: Utilizes historical data and mathematical models to predict future trends. Simple models, like moving averages, are effective for short-term forecasts, while more complex methods, such as regression analysis, are better for long-term predictions.</w:t>
      </w:r>
    </w:p>
    <w:p w14:paraId="6BA77F23" w14:textId="77777777" w:rsidR="00904A6B" w:rsidRDefault="00904A6B" w:rsidP="00904A6B">
      <w:r>
        <w:t>For businesses seeking detailed long-term predictions, sophisticated forecasting models like economic models offer valuable insights. Though more complex and costly, they provide a comprehensive understanding that supports strategic planning.</w:t>
      </w:r>
    </w:p>
    <w:p w14:paraId="6435D2BB" w14:textId="0BED7991" w:rsidR="00761BCF" w:rsidRDefault="00904A6B" w:rsidP="00904A6B">
      <w:r>
        <w:t>By integrating forecasting into business processes, companies can develop data-driven strategies that prepare them for various scenarios, enhancing decision-making, minimizing risks, and optimizing performance</w:t>
      </w:r>
      <w:r w:rsidR="00761BCF">
        <w:t>.</w:t>
      </w:r>
    </w:p>
    <w:p w14:paraId="5EF5C969" w14:textId="666C1CFD" w:rsidR="004826B3" w:rsidRDefault="00333625" w:rsidP="00761BCF">
      <w:pPr>
        <w:pStyle w:val="Heading3"/>
      </w:pPr>
      <w:bookmarkStart w:id="79" w:name="_Hlk162689885"/>
      <w:r>
        <w:t>B</w:t>
      </w:r>
      <w:r w:rsidR="00B94562">
        <w:t xml:space="preserve">usiness </w:t>
      </w:r>
      <w:r w:rsidR="00904A6B">
        <w:t>C</w:t>
      </w:r>
      <w:r w:rsidR="00B94562">
        <w:t>ase</w:t>
      </w:r>
      <w:r w:rsidR="00350CBE">
        <w:t>:</w:t>
      </w:r>
      <w:r w:rsidR="00350CBE" w:rsidRPr="00350CBE">
        <w:t xml:space="preserve"> </w:t>
      </w:r>
      <w:r w:rsidR="00350CBE">
        <w:t>Capital Equipment Investment</w:t>
      </w:r>
    </w:p>
    <w:p w14:paraId="163C979D" w14:textId="592B3AF1" w:rsidR="004826B3" w:rsidRPr="00333625" w:rsidRDefault="00904A6B" w:rsidP="004826B3">
      <w:bookmarkStart w:id="80" w:name="_Hlk163052677"/>
      <w:r w:rsidRPr="00904A6B">
        <w:rPr>
          <w:b/>
          <w:bCs/>
        </w:rPr>
        <w:t>Context:</w:t>
      </w:r>
      <w:r w:rsidRPr="00904A6B">
        <w:t xml:space="preserve"> The Chief Operating Officer (COO) of a conservative manufacturing firm faces a critical decision regarding capital investments in new machinery and additional labor for the upcoming year, driven by an anticipated increase in market demand. Sales &amp; Marketing has provided forecasts for sales demand and pricing, while Procurement and HR have projected material costs and labor expenses. These projections are framed within three scenarios—likely case, best case, and worst case—to address economic and market uncertainties. A summary of the Business variables is in the table.</w:t>
      </w:r>
    </w:p>
    <w:tbl>
      <w:tblPr>
        <w:tblW w:w="8370" w:type="dxa"/>
        <w:tblBorders>
          <w:top w:val="single" w:sz="4" w:space="0" w:color="auto"/>
          <w:bottom w:val="single" w:sz="4" w:space="0" w:color="auto"/>
        </w:tblBorders>
        <w:tblCellMar>
          <w:left w:w="0" w:type="dxa"/>
          <w:right w:w="0" w:type="dxa"/>
        </w:tblCellMar>
        <w:tblLook w:val="0600" w:firstRow="0" w:lastRow="0" w:firstColumn="0" w:lastColumn="0" w:noHBand="1" w:noVBand="1"/>
      </w:tblPr>
      <w:tblGrid>
        <w:gridCol w:w="2700"/>
        <w:gridCol w:w="1890"/>
        <w:gridCol w:w="1890"/>
        <w:gridCol w:w="1890"/>
      </w:tblGrid>
      <w:tr w:rsidR="00D6444D" w:rsidRPr="00B31911" w14:paraId="6EDCC796" w14:textId="56004D60" w:rsidTr="00A208FC">
        <w:trPr>
          <w:trHeight w:val="372"/>
        </w:trPr>
        <w:tc>
          <w:tcPr>
            <w:tcW w:w="2700" w:type="dxa"/>
            <w:shd w:val="clear" w:color="auto" w:fill="5B9BD5" w:themeFill="accent5"/>
            <w:tcMar>
              <w:top w:w="72" w:type="dxa"/>
              <w:left w:w="72" w:type="dxa"/>
              <w:bottom w:w="72" w:type="dxa"/>
              <w:right w:w="72" w:type="dxa"/>
            </w:tcMar>
            <w:vAlign w:val="center"/>
            <w:hideMark/>
          </w:tcPr>
          <w:p w14:paraId="639F33A3" w14:textId="77777777" w:rsidR="00D6444D" w:rsidRPr="00B31911" w:rsidRDefault="00D6444D" w:rsidP="001668E1">
            <w:pPr>
              <w:spacing w:before="0" w:after="0" w:line="240" w:lineRule="auto"/>
              <w:jc w:val="center"/>
              <w:textAlignment w:val="bottom"/>
              <w:rPr>
                <w:rFonts w:ascii="Arial" w:eastAsia="Times New Roman" w:hAnsi="Arial" w:cs="Arial"/>
                <w:b/>
                <w:bCs/>
                <w:color w:val="FFFFFF" w:themeColor="background1"/>
                <w:kern w:val="0"/>
                <w:sz w:val="36"/>
                <w:szCs w:val="36"/>
                <w14:ligatures w14:val="none"/>
              </w:rPr>
            </w:pPr>
            <w:r w:rsidRPr="00B31911">
              <w:rPr>
                <w:rFonts w:ascii="Trebuchet MS" w:eastAsia="Times New Roman" w:hAnsi="Trebuchet MS" w:cs="Arial"/>
                <w:b/>
                <w:bCs/>
                <w:color w:val="FFFFFF" w:themeColor="background1"/>
                <w:kern w:val="24"/>
                <w:sz w:val="21"/>
                <w:szCs w:val="21"/>
                <w14:ligatures w14:val="none"/>
              </w:rPr>
              <w:lastRenderedPageBreak/>
              <w:t>Forecast</w:t>
            </w:r>
          </w:p>
        </w:tc>
        <w:tc>
          <w:tcPr>
            <w:tcW w:w="1890" w:type="dxa"/>
            <w:shd w:val="clear" w:color="auto" w:fill="5B9BD5" w:themeFill="accent5"/>
            <w:tcMar>
              <w:top w:w="72" w:type="dxa"/>
              <w:left w:w="72" w:type="dxa"/>
              <w:bottom w:w="72" w:type="dxa"/>
              <w:right w:w="72" w:type="dxa"/>
            </w:tcMar>
            <w:vAlign w:val="center"/>
            <w:hideMark/>
          </w:tcPr>
          <w:p w14:paraId="74940DA7" w14:textId="3E8FD790" w:rsidR="00D6444D" w:rsidRPr="00B31911" w:rsidRDefault="00D6444D" w:rsidP="001668E1">
            <w:pPr>
              <w:spacing w:before="0" w:after="0" w:line="240" w:lineRule="auto"/>
              <w:jc w:val="center"/>
              <w:textAlignment w:val="bottom"/>
              <w:rPr>
                <w:rFonts w:ascii="Arial" w:eastAsia="Times New Roman" w:hAnsi="Arial" w:cs="Arial"/>
                <w:b/>
                <w:bCs/>
                <w:color w:val="FFFFFF" w:themeColor="background1"/>
                <w:kern w:val="0"/>
                <w:sz w:val="36"/>
                <w:szCs w:val="36"/>
                <w14:ligatures w14:val="none"/>
              </w:rPr>
            </w:pPr>
            <w:r w:rsidRPr="001668E1">
              <w:rPr>
                <w:rFonts w:ascii="Trebuchet MS" w:eastAsia="Times New Roman" w:hAnsi="Trebuchet MS" w:cs="Arial"/>
                <w:b/>
                <w:bCs/>
                <w:color w:val="FFFFFF" w:themeColor="background1"/>
                <w:kern w:val="24"/>
                <w:sz w:val="21"/>
                <w:szCs w:val="21"/>
                <w14:ligatures w14:val="none"/>
              </w:rPr>
              <w:t>Best Case</w:t>
            </w:r>
          </w:p>
        </w:tc>
        <w:tc>
          <w:tcPr>
            <w:tcW w:w="1890" w:type="dxa"/>
            <w:shd w:val="clear" w:color="auto" w:fill="5B9BD5" w:themeFill="accent5"/>
            <w:vAlign w:val="center"/>
          </w:tcPr>
          <w:p w14:paraId="3AAD7DE9" w14:textId="64406297" w:rsidR="00D6444D" w:rsidRPr="001668E1" w:rsidRDefault="00D6444D" w:rsidP="001668E1">
            <w:pPr>
              <w:spacing w:before="0" w:after="0" w:line="240" w:lineRule="auto"/>
              <w:jc w:val="center"/>
              <w:textAlignment w:val="bottom"/>
              <w:rPr>
                <w:rFonts w:ascii="Trebuchet MS" w:eastAsia="Times New Roman" w:hAnsi="Trebuchet MS" w:cs="Arial"/>
                <w:b/>
                <w:bCs/>
                <w:color w:val="FFFFFF" w:themeColor="background1"/>
                <w:kern w:val="24"/>
                <w:sz w:val="21"/>
                <w:szCs w:val="21"/>
                <w14:ligatures w14:val="none"/>
              </w:rPr>
            </w:pPr>
            <w:r w:rsidRPr="00B31911">
              <w:rPr>
                <w:rFonts w:ascii="Trebuchet MS" w:eastAsia="Times New Roman" w:hAnsi="Trebuchet MS" w:cs="Arial"/>
                <w:b/>
                <w:bCs/>
                <w:color w:val="FFFFFF" w:themeColor="background1"/>
                <w:kern w:val="24"/>
                <w:sz w:val="21"/>
                <w:szCs w:val="21"/>
                <w14:ligatures w14:val="none"/>
              </w:rPr>
              <w:t>Likely case</w:t>
            </w:r>
          </w:p>
        </w:tc>
        <w:tc>
          <w:tcPr>
            <w:tcW w:w="1890" w:type="dxa"/>
            <w:shd w:val="clear" w:color="auto" w:fill="5B9BD5" w:themeFill="accent5"/>
            <w:vAlign w:val="center"/>
          </w:tcPr>
          <w:p w14:paraId="2CC42099" w14:textId="1513318B" w:rsidR="00D6444D" w:rsidRPr="001668E1" w:rsidRDefault="00D6444D" w:rsidP="001668E1">
            <w:pPr>
              <w:spacing w:before="0" w:after="0" w:line="240" w:lineRule="auto"/>
              <w:jc w:val="center"/>
              <w:textAlignment w:val="bottom"/>
              <w:rPr>
                <w:rFonts w:ascii="Trebuchet MS" w:eastAsia="Times New Roman" w:hAnsi="Trebuchet MS" w:cs="Arial"/>
                <w:b/>
                <w:bCs/>
                <w:color w:val="FFFFFF" w:themeColor="background1"/>
                <w:kern w:val="24"/>
                <w:sz w:val="21"/>
                <w:szCs w:val="21"/>
                <w14:ligatures w14:val="none"/>
              </w:rPr>
            </w:pPr>
            <w:r w:rsidRPr="001668E1">
              <w:rPr>
                <w:rFonts w:ascii="Trebuchet MS" w:eastAsia="Times New Roman" w:hAnsi="Trebuchet MS" w:cs="Arial"/>
                <w:b/>
                <w:bCs/>
                <w:color w:val="FFFFFF" w:themeColor="background1"/>
                <w:kern w:val="24"/>
                <w:sz w:val="21"/>
                <w:szCs w:val="21"/>
                <w14:ligatures w14:val="none"/>
              </w:rPr>
              <w:t>Worst Case</w:t>
            </w:r>
          </w:p>
        </w:tc>
      </w:tr>
      <w:tr w:rsidR="00D6444D" w:rsidRPr="00B31911" w14:paraId="56E644C2" w14:textId="79E91469" w:rsidTr="00A208FC">
        <w:trPr>
          <w:trHeight w:val="372"/>
        </w:trPr>
        <w:tc>
          <w:tcPr>
            <w:tcW w:w="2700" w:type="dxa"/>
            <w:shd w:val="clear" w:color="auto" w:fill="auto"/>
            <w:tcMar>
              <w:top w:w="72" w:type="dxa"/>
              <w:left w:w="72" w:type="dxa"/>
              <w:bottom w:w="72" w:type="dxa"/>
              <w:right w:w="72" w:type="dxa"/>
            </w:tcMar>
            <w:vAlign w:val="center"/>
            <w:hideMark/>
          </w:tcPr>
          <w:p w14:paraId="26E1B284" w14:textId="1E213CC7"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Sales growth</w:t>
            </w:r>
          </w:p>
        </w:tc>
        <w:tc>
          <w:tcPr>
            <w:tcW w:w="1890" w:type="dxa"/>
            <w:shd w:val="clear" w:color="auto" w:fill="auto"/>
            <w:tcMar>
              <w:top w:w="72" w:type="dxa"/>
              <w:left w:w="72" w:type="dxa"/>
              <w:bottom w:w="72" w:type="dxa"/>
              <w:right w:w="72" w:type="dxa"/>
            </w:tcMar>
            <w:vAlign w:val="center"/>
            <w:hideMark/>
          </w:tcPr>
          <w:p w14:paraId="66B55E0F" w14:textId="77777777"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8%</w:t>
            </w:r>
          </w:p>
        </w:tc>
        <w:tc>
          <w:tcPr>
            <w:tcW w:w="1890" w:type="dxa"/>
            <w:vAlign w:val="center"/>
          </w:tcPr>
          <w:p w14:paraId="343C8156" w14:textId="1C60708C"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6%</w:t>
            </w:r>
          </w:p>
        </w:tc>
        <w:tc>
          <w:tcPr>
            <w:tcW w:w="1890" w:type="dxa"/>
            <w:vAlign w:val="center"/>
          </w:tcPr>
          <w:p w14:paraId="103A96CA" w14:textId="3ACA768A"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2%</w:t>
            </w:r>
          </w:p>
        </w:tc>
      </w:tr>
      <w:tr w:rsidR="00D6444D" w:rsidRPr="00B31911" w14:paraId="5A73F8AE" w14:textId="34E5CB1F" w:rsidTr="00A208FC">
        <w:trPr>
          <w:trHeight w:val="372"/>
        </w:trPr>
        <w:tc>
          <w:tcPr>
            <w:tcW w:w="2700" w:type="dxa"/>
            <w:shd w:val="clear" w:color="auto" w:fill="DEEAF6" w:themeFill="accent5" w:themeFillTint="33"/>
            <w:tcMar>
              <w:top w:w="72" w:type="dxa"/>
              <w:left w:w="72" w:type="dxa"/>
              <w:bottom w:w="72" w:type="dxa"/>
              <w:right w:w="72" w:type="dxa"/>
            </w:tcMar>
            <w:vAlign w:val="center"/>
            <w:hideMark/>
          </w:tcPr>
          <w:p w14:paraId="5AE8A21D" w14:textId="45D07BBA"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 xml:space="preserve">Unit price </w:t>
            </w:r>
            <w:r>
              <w:rPr>
                <w:rFonts w:ascii="Trebuchet MS" w:eastAsia="Times New Roman" w:hAnsi="Trebuchet MS" w:cs="Arial"/>
                <w:color w:val="000000"/>
                <w:kern w:val="24"/>
                <w:sz w:val="21"/>
                <w:szCs w:val="21"/>
                <w14:ligatures w14:val="none"/>
              </w:rPr>
              <w:t>increase</w:t>
            </w:r>
          </w:p>
        </w:tc>
        <w:tc>
          <w:tcPr>
            <w:tcW w:w="1890" w:type="dxa"/>
            <w:shd w:val="clear" w:color="auto" w:fill="DEEAF6" w:themeFill="accent5" w:themeFillTint="33"/>
            <w:tcMar>
              <w:top w:w="72" w:type="dxa"/>
              <w:left w:w="72" w:type="dxa"/>
              <w:bottom w:w="72" w:type="dxa"/>
              <w:right w:w="72" w:type="dxa"/>
            </w:tcMar>
            <w:vAlign w:val="center"/>
            <w:hideMark/>
          </w:tcPr>
          <w:p w14:paraId="17E22A0D" w14:textId="77777777"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4%</w:t>
            </w:r>
          </w:p>
        </w:tc>
        <w:tc>
          <w:tcPr>
            <w:tcW w:w="1890" w:type="dxa"/>
            <w:shd w:val="clear" w:color="auto" w:fill="DEEAF6" w:themeFill="accent5" w:themeFillTint="33"/>
            <w:vAlign w:val="center"/>
          </w:tcPr>
          <w:p w14:paraId="15A5889C" w14:textId="04325125"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2%</w:t>
            </w:r>
          </w:p>
        </w:tc>
        <w:tc>
          <w:tcPr>
            <w:tcW w:w="1890" w:type="dxa"/>
            <w:shd w:val="clear" w:color="auto" w:fill="DEEAF6" w:themeFill="accent5" w:themeFillTint="33"/>
            <w:vAlign w:val="center"/>
          </w:tcPr>
          <w:p w14:paraId="0A768691" w14:textId="195FB716"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1%</w:t>
            </w:r>
          </w:p>
        </w:tc>
      </w:tr>
      <w:tr w:rsidR="00D6444D" w:rsidRPr="00B31911" w14:paraId="36BADFA3" w14:textId="1795139F" w:rsidTr="00A208FC">
        <w:trPr>
          <w:trHeight w:val="372"/>
        </w:trPr>
        <w:tc>
          <w:tcPr>
            <w:tcW w:w="2700" w:type="dxa"/>
            <w:shd w:val="clear" w:color="auto" w:fill="auto"/>
            <w:tcMar>
              <w:top w:w="72" w:type="dxa"/>
              <w:left w:w="72" w:type="dxa"/>
              <w:bottom w:w="72" w:type="dxa"/>
              <w:right w:w="72" w:type="dxa"/>
            </w:tcMar>
            <w:vAlign w:val="center"/>
            <w:hideMark/>
          </w:tcPr>
          <w:p w14:paraId="2E1821C0" w14:textId="41E32193"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Material</w:t>
            </w:r>
            <w:r>
              <w:rPr>
                <w:rFonts w:ascii="Trebuchet MS" w:eastAsia="Times New Roman" w:hAnsi="Trebuchet MS" w:cs="Arial"/>
                <w:color w:val="000000"/>
                <w:kern w:val="24"/>
                <w:sz w:val="21"/>
                <w:szCs w:val="21"/>
                <w14:ligatures w14:val="none"/>
              </w:rPr>
              <w:t>s</w:t>
            </w:r>
            <w:r w:rsidRPr="00B31911">
              <w:rPr>
                <w:rFonts w:ascii="Trebuchet MS" w:eastAsia="Times New Roman" w:hAnsi="Trebuchet MS" w:cs="Arial"/>
                <w:color w:val="000000"/>
                <w:kern w:val="24"/>
                <w:sz w:val="21"/>
                <w:szCs w:val="21"/>
                <w14:ligatures w14:val="none"/>
              </w:rPr>
              <w:t xml:space="preserve"> </w:t>
            </w:r>
            <w:r>
              <w:rPr>
                <w:rFonts w:ascii="Trebuchet MS" w:eastAsia="Times New Roman" w:hAnsi="Trebuchet MS" w:cs="Arial"/>
                <w:color w:val="000000"/>
                <w:kern w:val="24"/>
                <w:sz w:val="21"/>
                <w:szCs w:val="21"/>
                <w14:ligatures w14:val="none"/>
              </w:rPr>
              <w:t>cost increase</w:t>
            </w:r>
          </w:p>
        </w:tc>
        <w:tc>
          <w:tcPr>
            <w:tcW w:w="1890" w:type="dxa"/>
            <w:shd w:val="clear" w:color="auto" w:fill="auto"/>
            <w:tcMar>
              <w:top w:w="72" w:type="dxa"/>
              <w:left w:w="72" w:type="dxa"/>
              <w:bottom w:w="72" w:type="dxa"/>
              <w:right w:w="72" w:type="dxa"/>
            </w:tcMar>
            <w:vAlign w:val="center"/>
            <w:hideMark/>
          </w:tcPr>
          <w:p w14:paraId="357A7A84" w14:textId="77777777"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4%</w:t>
            </w:r>
          </w:p>
        </w:tc>
        <w:tc>
          <w:tcPr>
            <w:tcW w:w="1890" w:type="dxa"/>
            <w:vAlign w:val="center"/>
          </w:tcPr>
          <w:p w14:paraId="1817F1A7" w14:textId="07FF74C7"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2%</w:t>
            </w:r>
          </w:p>
        </w:tc>
        <w:tc>
          <w:tcPr>
            <w:tcW w:w="1890" w:type="dxa"/>
            <w:vAlign w:val="center"/>
          </w:tcPr>
          <w:p w14:paraId="699E48A4" w14:textId="6E2FA918"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1%</w:t>
            </w:r>
          </w:p>
        </w:tc>
      </w:tr>
      <w:tr w:rsidR="00D6444D" w:rsidRPr="00B31911" w14:paraId="7EFE6E41" w14:textId="4072DD2A" w:rsidTr="00A208FC">
        <w:trPr>
          <w:trHeight w:val="372"/>
        </w:trPr>
        <w:tc>
          <w:tcPr>
            <w:tcW w:w="2700" w:type="dxa"/>
            <w:shd w:val="clear" w:color="auto" w:fill="DEEAF6" w:themeFill="accent5" w:themeFillTint="33"/>
            <w:tcMar>
              <w:top w:w="72" w:type="dxa"/>
              <w:left w:w="72" w:type="dxa"/>
              <w:bottom w:w="72" w:type="dxa"/>
              <w:right w:w="72" w:type="dxa"/>
            </w:tcMar>
            <w:vAlign w:val="center"/>
            <w:hideMark/>
          </w:tcPr>
          <w:p w14:paraId="3A224735" w14:textId="3AF0C5DA"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 xml:space="preserve">Fixed cost </w:t>
            </w:r>
            <w:r>
              <w:rPr>
                <w:rFonts w:ascii="Trebuchet MS" w:eastAsia="Times New Roman" w:hAnsi="Trebuchet MS" w:cs="Arial"/>
                <w:color w:val="000000"/>
                <w:kern w:val="24"/>
                <w:sz w:val="21"/>
                <w:szCs w:val="21"/>
                <w14:ligatures w14:val="none"/>
              </w:rPr>
              <w:t>increase</w:t>
            </w:r>
          </w:p>
        </w:tc>
        <w:tc>
          <w:tcPr>
            <w:tcW w:w="1890" w:type="dxa"/>
            <w:shd w:val="clear" w:color="auto" w:fill="DEEAF6" w:themeFill="accent5" w:themeFillTint="33"/>
            <w:tcMar>
              <w:top w:w="72" w:type="dxa"/>
              <w:left w:w="72" w:type="dxa"/>
              <w:bottom w:w="72" w:type="dxa"/>
              <w:right w:w="72" w:type="dxa"/>
            </w:tcMar>
            <w:vAlign w:val="center"/>
            <w:hideMark/>
          </w:tcPr>
          <w:p w14:paraId="76E9B62A" w14:textId="77777777" w:rsidR="00D6444D" w:rsidRPr="00B31911" w:rsidRDefault="00D6444D" w:rsidP="001668E1">
            <w:pPr>
              <w:spacing w:before="0" w:after="0" w:line="240" w:lineRule="auto"/>
              <w:jc w:val="center"/>
              <w:textAlignment w:val="bottom"/>
              <w:rPr>
                <w:rFonts w:ascii="Arial" w:eastAsia="Times New Roman" w:hAnsi="Arial" w:cs="Arial"/>
                <w:kern w:val="0"/>
                <w:sz w:val="36"/>
                <w:szCs w:val="36"/>
                <w14:ligatures w14:val="none"/>
              </w:rPr>
            </w:pPr>
            <w:r w:rsidRPr="00B31911">
              <w:rPr>
                <w:rFonts w:ascii="Trebuchet MS" w:eastAsia="Times New Roman" w:hAnsi="Trebuchet MS" w:cs="Arial"/>
                <w:color w:val="000000"/>
                <w:kern w:val="24"/>
                <w:sz w:val="21"/>
                <w:szCs w:val="21"/>
                <w14:ligatures w14:val="none"/>
              </w:rPr>
              <w:t>4%</w:t>
            </w:r>
          </w:p>
        </w:tc>
        <w:tc>
          <w:tcPr>
            <w:tcW w:w="1890" w:type="dxa"/>
            <w:shd w:val="clear" w:color="auto" w:fill="DEEAF6" w:themeFill="accent5" w:themeFillTint="33"/>
            <w:vAlign w:val="center"/>
          </w:tcPr>
          <w:p w14:paraId="7FFBFC76" w14:textId="3576DD67"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2%</w:t>
            </w:r>
          </w:p>
        </w:tc>
        <w:tc>
          <w:tcPr>
            <w:tcW w:w="1890" w:type="dxa"/>
            <w:shd w:val="clear" w:color="auto" w:fill="DEEAF6" w:themeFill="accent5" w:themeFillTint="33"/>
            <w:vAlign w:val="center"/>
          </w:tcPr>
          <w:p w14:paraId="0111336E" w14:textId="2C18909C" w:rsidR="00D6444D" w:rsidRPr="00B31911" w:rsidRDefault="00D6444D" w:rsidP="001668E1">
            <w:pPr>
              <w:spacing w:before="0" w:after="0" w:line="240" w:lineRule="auto"/>
              <w:jc w:val="center"/>
              <w:textAlignment w:val="bottom"/>
              <w:rPr>
                <w:rFonts w:ascii="Trebuchet MS" w:eastAsia="Times New Roman" w:hAnsi="Trebuchet MS" w:cs="Arial"/>
                <w:color w:val="000000"/>
                <w:kern w:val="24"/>
                <w:sz w:val="21"/>
                <w:szCs w:val="21"/>
                <w14:ligatures w14:val="none"/>
              </w:rPr>
            </w:pPr>
            <w:r w:rsidRPr="00B31911">
              <w:rPr>
                <w:rFonts w:ascii="Trebuchet MS" w:eastAsia="Times New Roman" w:hAnsi="Trebuchet MS" w:cs="Arial"/>
                <w:color w:val="000000"/>
                <w:kern w:val="24"/>
                <w:sz w:val="21"/>
                <w:szCs w:val="21"/>
                <w14:ligatures w14:val="none"/>
              </w:rPr>
              <w:t>1%</w:t>
            </w:r>
          </w:p>
        </w:tc>
      </w:tr>
    </w:tbl>
    <w:p w14:paraId="22483E10" w14:textId="77777777" w:rsidR="00B31911" w:rsidRDefault="00B31911" w:rsidP="004826B3">
      <w:pPr>
        <w:rPr>
          <w:rFonts w:ascii="Segoe UI" w:hAnsi="Segoe UI" w:cs="Segoe UI"/>
          <w:color w:val="0D0D0D"/>
          <w:shd w:val="clear" w:color="auto" w:fill="FFFFFF"/>
        </w:rPr>
      </w:pPr>
    </w:p>
    <w:p w14:paraId="5B1910C1" w14:textId="0A86F62C" w:rsidR="00904A6B" w:rsidRPr="00904A6B" w:rsidRDefault="00904A6B" w:rsidP="00904A6B">
      <w:pPr>
        <w:rPr>
          <w:rFonts w:ascii="Segoe UI" w:hAnsi="Segoe UI" w:cs="Segoe UI"/>
          <w:b/>
          <w:bCs/>
          <w:color w:val="0D0D0D"/>
          <w:shd w:val="clear" w:color="auto" w:fill="FFFFFF"/>
        </w:rPr>
      </w:pPr>
      <w:r w:rsidRPr="00904A6B">
        <w:rPr>
          <w:rFonts w:ascii="Segoe UI" w:hAnsi="Segoe UI" w:cs="Segoe UI"/>
          <w:b/>
          <w:bCs/>
          <w:color w:val="0D0D0D"/>
          <w:shd w:val="clear" w:color="auto" w:fill="FFFFFF"/>
        </w:rPr>
        <w:t xml:space="preserve">Build a </w:t>
      </w:r>
      <w:r>
        <w:rPr>
          <w:rFonts w:ascii="Segoe UI" w:hAnsi="Segoe UI" w:cs="Segoe UI"/>
          <w:b/>
          <w:bCs/>
          <w:color w:val="0D0D0D"/>
          <w:shd w:val="clear" w:color="auto" w:fill="FFFFFF"/>
        </w:rPr>
        <w:t>Financial</w:t>
      </w:r>
      <w:r w:rsidRPr="00904A6B">
        <w:rPr>
          <w:rFonts w:ascii="Segoe UI" w:hAnsi="Segoe UI" w:cs="Segoe UI"/>
          <w:b/>
          <w:bCs/>
          <w:color w:val="0D0D0D"/>
          <w:shd w:val="clear" w:color="auto" w:fill="FFFFFF"/>
        </w:rPr>
        <w:t xml:space="preserve"> </w:t>
      </w:r>
      <w:r>
        <w:rPr>
          <w:rFonts w:ascii="Segoe UI" w:hAnsi="Segoe UI" w:cs="Segoe UI"/>
          <w:b/>
          <w:bCs/>
          <w:color w:val="0D0D0D"/>
          <w:shd w:val="clear" w:color="auto" w:fill="FFFFFF"/>
        </w:rPr>
        <w:t>M</w:t>
      </w:r>
      <w:r w:rsidRPr="00904A6B">
        <w:rPr>
          <w:rFonts w:ascii="Segoe UI" w:hAnsi="Segoe UI" w:cs="Segoe UI"/>
          <w:b/>
          <w:bCs/>
          <w:color w:val="0D0D0D"/>
          <w:shd w:val="clear" w:color="auto" w:fill="FFFFFF"/>
        </w:rPr>
        <w:t>ode</w:t>
      </w:r>
      <w:r>
        <w:rPr>
          <w:rFonts w:ascii="Segoe UI" w:hAnsi="Segoe UI" w:cs="Segoe UI"/>
          <w:b/>
          <w:bCs/>
          <w:color w:val="0D0D0D"/>
          <w:shd w:val="clear" w:color="auto" w:fill="FFFFFF"/>
        </w:rPr>
        <w:t>l</w:t>
      </w:r>
    </w:p>
    <w:p w14:paraId="6BA4AF33" w14:textId="2B938273" w:rsidR="00904A6B" w:rsidRPr="00904A6B" w:rsidRDefault="00904A6B" w:rsidP="00904A6B">
      <w:pPr>
        <w:rPr>
          <w:rFonts w:ascii="Segoe UI" w:hAnsi="Segoe UI" w:cs="Segoe UI"/>
          <w:color w:val="0D0D0D"/>
          <w:shd w:val="clear" w:color="auto" w:fill="FFFFFF"/>
        </w:rPr>
      </w:pPr>
      <w:r w:rsidRPr="00904A6B">
        <w:rPr>
          <w:rFonts w:ascii="Segoe UI" w:hAnsi="Segoe UI" w:cs="Segoe UI"/>
          <w:color w:val="0D0D0D"/>
          <w:shd w:val="clear" w:color="auto" w:fill="FFFFFF"/>
        </w:rPr>
        <w:t>A</w:t>
      </w:r>
      <w:r>
        <w:rPr>
          <w:rFonts w:ascii="Segoe UI" w:hAnsi="Segoe UI" w:cs="Segoe UI"/>
          <w:color w:val="0D0D0D"/>
          <w:shd w:val="clear" w:color="auto" w:fill="FFFFFF"/>
        </w:rPr>
        <w:t xml:space="preserve">n investment economic </w:t>
      </w:r>
      <w:r w:rsidRPr="00904A6B">
        <w:rPr>
          <w:rFonts w:ascii="Segoe UI" w:hAnsi="Segoe UI" w:cs="Segoe UI"/>
          <w:color w:val="0D0D0D"/>
          <w:shd w:val="clear" w:color="auto" w:fill="FFFFFF"/>
        </w:rPr>
        <w:t xml:space="preserve">model is constructed to estimate the financial performance of an investment decision under a </w:t>
      </w:r>
      <w:r>
        <w:rPr>
          <w:rFonts w:ascii="Segoe UI" w:hAnsi="Segoe UI" w:cs="Segoe UI"/>
          <w:color w:val="0D0D0D"/>
          <w:shd w:val="clear" w:color="auto" w:fill="FFFFFF"/>
        </w:rPr>
        <w:t xml:space="preserve">most </w:t>
      </w:r>
      <w:r w:rsidRPr="00904A6B">
        <w:rPr>
          <w:rFonts w:ascii="Segoe UI" w:hAnsi="Segoe UI" w:cs="Segoe UI"/>
          <w:color w:val="0D0D0D"/>
          <w:shd w:val="clear" w:color="auto" w:fill="FFFFFF"/>
        </w:rPr>
        <w:t>likely case. The key assumptions are:</w:t>
      </w:r>
    </w:p>
    <w:p w14:paraId="27E237BB" w14:textId="77777777" w:rsidR="00904A6B" w:rsidRPr="00904A6B" w:rsidRDefault="00904A6B" w:rsidP="00D81274">
      <w:pPr>
        <w:pStyle w:val="ListParagraph"/>
        <w:numPr>
          <w:ilvl w:val="0"/>
          <w:numId w:val="32"/>
        </w:numPr>
        <w:rPr>
          <w:rFonts w:ascii="Segoe UI" w:hAnsi="Segoe UI" w:cs="Segoe UI"/>
          <w:color w:val="0D0D0D"/>
          <w:shd w:val="clear" w:color="auto" w:fill="FFFFFF"/>
        </w:rPr>
      </w:pPr>
      <w:r w:rsidRPr="00904A6B">
        <w:rPr>
          <w:rFonts w:ascii="Segoe UI" w:hAnsi="Segoe UI" w:cs="Segoe UI"/>
          <w:color w:val="0D0D0D"/>
          <w:shd w:val="clear" w:color="auto" w:fill="FFFFFF"/>
        </w:rPr>
        <w:t>Annual delivery volume aligns with demand; no inventory</w:t>
      </w:r>
    </w:p>
    <w:p w14:paraId="2C80D2AF" w14:textId="77777777" w:rsidR="00904A6B" w:rsidRPr="00904A6B" w:rsidRDefault="00904A6B" w:rsidP="00D81274">
      <w:pPr>
        <w:pStyle w:val="ListParagraph"/>
        <w:numPr>
          <w:ilvl w:val="0"/>
          <w:numId w:val="32"/>
        </w:numPr>
        <w:rPr>
          <w:rFonts w:ascii="Segoe UI" w:hAnsi="Segoe UI" w:cs="Segoe UI"/>
          <w:color w:val="0D0D0D"/>
          <w:shd w:val="clear" w:color="auto" w:fill="FFFFFF"/>
        </w:rPr>
      </w:pPr>
      <w:r w:rsidRPr="00904A6B">
        <w:rPr>
          <w:rFonts w:ascii="Segoe UI" w:hAnsi="Segoe UI" w:cs="Segoe UI"/>
          <w:color w:val="0D0D0D"/>
          <w:shd w:val="clear" w:color="auto" w:fill="FFFFFF"/>
        </w:rPr>
        <w:t>New machinery will be operational from the start of the fiscal year.</w:t>
      </w:r>
    </w:p>
    <w:p w14:paraId="651F3D91" w14:textId="77777777" w:rsidR="00904A6B" w:rsidRPr="00904A6B" w:rsidRDefault="00904A6B" w:rsidP="00D81274">
      <w:pPr>
        <w:pStyle w:val="ListParagraph"/>
        <w:numPr>
          <w:ilvl w:val="0"/>
          <w:numId w:val="32"/>
        </w:numPr>
        <w:rPr>
          <w:rFonts w:ascii="Segoe UI" w:hAnsi="Segoe UI" w:cs="Segoe UI"/>
          <w:color w:val="0D0D0D"/>
          <w:shd w:val="clear" w:color="auto" w:fill="FFFFFF"/>
        </w:rPr>
      </w:pPr>
      <w:r w:rsidRPr="00904A6B">
        <w:rPr>
          <w:rFonts w:ascii="Segoe UI" w:hAnsi="Segoe UI" w:cs="Segoe UI"/>
          <w:color w:val="0D0D0D"/>
          <w:shd w:val="clear" w:color="auto" w:fill="FFFFFF"/>
        </w:rPr>
        <w:t>The number of machines constrains production capacity.</w:t>
      </w:r>
    </w:p>
    <w:p w14:paraId="7A89D424" w14:textId="77777777" w:rsidR="00904A6B" w:rsidRPr="00904A6B" w:rsidRDefault="00904A6B" w:rsidP="00D81274">
      <w:pPr>
        <w:pStyle w:val="ListParagraph"/>
        <w:numPr>
          <w:ilvl w:val="0"/>
          <w:numId w:val="32"/>
        </w:numPr>
        <w:rPr>
          <w:rFonts w:ascii="Segoe UI" w:hAnsi="Segoe UI" w:cs="Segoe UI"/>
          <w:color w:val="0D0D0D"/>
          <w:shd w:val="clear" w:color="auto" w:fill="FFFFFF"/>
        </w:rPr>
      </w:pPr>
      <w:r w:rsidRPr="00904A6B">
        <w:rPr>
          <w:rFonts w:ascii="Segoe UI" w:hAnsi="Segoe UI" w:cs="Segoe UI"/>
          <w:color w:val="0D0D0D"/>
          <w:shd w:val="clear" w:color="auto" w:fill="FFFFFF"/>
        </w:rPr>
        <w:t>Variable costs include only materials.</w:t>
      </w:r>
    </w:p>
    <w:p w14:paraId="149C5B92" w14:textId="77777777" w:rsidR="00904A6B" w:rsidRPr="00904A6B" w:rsidRDefault="00904A6B" w:rsidP="00D81274">
      <w:pPr>
        <w:pStyle w:val="ListParagraph"/>
        <w:numPr>
          <w:ilvl w:val="0"/>
          <w:numId w:val="32"/>
        </w:numPr>
        <w:rPr>
          <w:rFonts w:ascii="Segoe UI" w:hAnsi="Segoe UI" w:cs="Segoe UI"/>
          <w:color w:val="0D0D0D"/>
          <w:shd w:val="clear" w:color="auto" w:fill="FFFFFF"/>
        </w:rPr>
      </w:pPr>
      <w:r w:rsidRPr="00904A6B">
        <w:rPr>
          <w:rFonts w:ascii="Segoe UI" w:hAnsi="Segoe UI" w:cs="Segoe UI"/>
          <w:color w:val="0D0D0D"/>
          <w:shd w:val="clear" w:color="auto" w:fill="FFFFFF"/>
        </w:rPr>
        <w:t>Fixed costs cover machinery, operating labor, and other operational expenses.</w:t>
      </w:r>
    </w:p>
    <w:p w14:paraId="4D71B87F" w14:textId="49EB6926" w:rsidR="00904A6B" w:rsidRPr="00904A6B" w:rsidRDefault="00904A6B" w:rsidP="00904A6B">
      <w:pPr>
        <w:rPr>
          <w:rFonts w:ascii="Segoe UI" w:hAnsi="Segoe UI" w:cs="Segoe UI"/>
          <w:color w:val="0D0D0D"/>
          <w:shd w:val="clear" w:color="auto" w:fill="FFFFFF"/>
        </w:rPr>
      </w:pPr>
      <w:r w:rsidRPr="00904A6B">
        <w:rPr>
          <w:rFonts w:ascii="Segoe UI" w:hAnsi="Segoe UI" w:cs="Segoe UI"/>
          <w:color w:val="0D0D0D"/>
          <w:shd w:val="clear" w:color="auto" w:fill="FFFFFF"/>
        </w:rPr>
        <w:t>The model calculates revenue, production costs (variable and fixed), and profit based on the number of additional machines. The key Performance Indicators include:</w:t>
      </w:r>
    </w:p>
    <w:p w14:paraId="1EBFAC6B" w14:textId="77777777" w:rsidR="00904A6B" w:rsidRPr="00904A6B" w:rsidRDefault="00904A6B" w:rsidP="00D81274">
      <w:pPr>
        <w:pStyle w:val="ListParagraph"/>
        <w:numPr>
          <w:ilvl w:val="0"/>
          <w:numId w:val="33"/>
        </w:numPr>
        <w:rPr>
          <w:rFonts w:ascii="Segoe UI" w:hAnsi="Segoe UI" w:cs="Segoe UI"/>
          <w:color w:val="0D0D0D"/>
          <w:shd w:val="clear" w:color="auto" w:fill="FFFFFF"/>
        </w:rPr>
      </w:pPr>
      <w:r w:rsidRPr="00904A6B">
        <w:rPr>
          <w:rFonts w:ascii="Segoe UI" w:hAnsi="Segoe UI" w:cs="Segoe UI"/>
          <w:color w:val="0D0D0D"/>
          <w:shd w:val="clear" w:color="auto" w:fill="FFFFFF"/>
        </w:rPr>
        <w:t>Incremental Profit: Profit from investing in additional machinery versus no investment.</w:t>
      </w:r>
    </w:p>
    <w:p w14:paraId="74E760C3" w14:textId="3A4634E7" w:rsidR="00904A6B" w:rsidRPr="00904A6B" w:rsidRDefault="00904A6B" w:rsidP="00D81274">
      <w:pPr>
        <w:pStyle w:val="ListParagraph"/>
        <w:numPr>
          <w:ilvl w:val="0"/>
          <w:numId w:val="33"/>
        </w:numPr>
        <w:rPr>
          <w:rFonts w:ascii="Segoe UI" w:hAnsi="Segoe UI" w:cs="Segoe UI"/>
          <w:color w:val="0D0D0D"/>
          <w:shd w:val="clear" w:color="auto" w:fill="FFFFFF"/>
        </w:rPr>
      </w:pPr>
      <w:r w:rsidRPr="00904A6B">
        <w:rPr>
          <w:rFonts w:ascii="Segoe UI" w:hAnsi="Segoe UI" w:cs="Segoe UI"/>
          <w:color w:val="0D0D0D"/>
          <w:shd w:val="clear" w:color="auto" w:fill="FFFFFF"/>
        </w:rPr>
        <w:t>Return on Investment (ROI): Incremental profit divided by the annual cost of machinery and labor.</w:t>
      </w:r>
    </w:p>
    <w:bookmarkEnd w:id="80"/>
    <w:p w14:paraId="6F69AA7D" w14:textId="1DD58E15" w:rsidR="001A6ACC" w:rsidRDefault="001A6ACC" w:rsidP="002A207A">
      <w:r w:rsidRPr="001A6ACC">
        <w:rPr>
          <w:noProof/>
        </w:rPr>
        <w:lastRenderedPageBreak/>
        <w:drawing>
          <wp:inline distT="0" distB="0" distL="0" distR="0" wp14:anchorId="24B87E8B" wp14:editId="6F5C3B77">
            <wp:extent cx="5943600" cy="5629910"/>
            <wp:effectExtent l="0" t="0" r="0" b="8890"/>
            <wp:docPr id="61957201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2016" name="Picture 1" descr="A screenshot of a spreadsheet&#10;&#10;Description automatically generated"/>
                    <pic:cNvPicPr/>
                  </pic:nvPicPr>
                  <pic:blipFill>
                    <a:blip r:embed="rId25"/>
                    <a:stretch>
                      <a:fillRect/>
                    </a:stretch>
                  </pic:blipFill>
                  <pic:spPr>
                    <a:xfrm>
                      <a:off x="0" y="0"/>
                      <a:ext cx="5943600" cy="5629910"/>
                    </a:xfrm>
                    <a:prstGeom prst="rect">
                      <a:avLst/>
                    </a:prstGeom>
                  </pic:spPr>
                </pic:pic>
              </a:graphicData>
            </a:graphic>
          </wp:inline>
        </w:drawing>
      </w:r>
    </w:p>
    <w:p w14:paraId="4594BB33" w14:textId="3615308A" w:rsidR="00904A6B" w:rsidRPr="00B87E51" w:rsidRDefault="00B87E51" w:rsidP="00904A6B">
      <w:pPr>
        <w:rPr>
          <w:b/>
          <w:bCs/>
        </w:rPr>
      </w:pPr>
      <w:r w:rsidRPr="00B87E51">
        <w:rPr>
          <w:b/>
          <w:bCs/>
        </w:rPr>
        <w:t>Implement</w:t>
      </w:r>
      <w:r w:rsidR="00904A6B" w:rsidRPr="00B87E51">
        <w:rPr>
          <w:b/>
          <w:bCs/>
        </w:rPr>
        <w:t xml:space="preserve"> Scenario Analysis </w:t>
      </w:r>
      <w:r w:rsidRPr="00B87E51">
        <w:rPr>
          <w:b/>
          <w:bCs/>
        </w:rPr>
        <w:t>with Excel Function</w:t>
      </w:r>
    </w:p>
    <w:p w14:paraId="76FCD4AC" w14:textId="48CCD7A7" w:rsidR="00904A6B" w:rsidRDefault="00904A6B" w:rsidP="00B87E51">
      <w:r>
        <w:t xml:space="preserve">Scenario analysis is then integrated into the model to assess the financial implications under different </w:t>
      </w:r>
      <w:r w:rsidR="00B87E51">
        <w:t xml:space="preserve">market </w:t>
      </w:r>
      <w:r>
        <w:t>condition</w:t>
      </w:r>
      <w:r w:rsidR="00B87E51">
        <w:t xml:space="preserve"> scenarios (worst case, best case, and most likely case)</w:t>
      </w:r>
      <w:r>
        <w:t xml:space="preserve">. </w:t>
      </w:r>
      <w:r w:rsidR="00B87E51">
        <w:t>With the help of Excel’s “What-If” function, an analyst can add the scenarios analysis capability directly to the economic model with minimum programming efforts. The function provides an intuitive user</w:t>
      </w:r>
      <w:r w:rsidR="005C5745">
        <w:t xml:space="preserve"> </w:t>
      </w:r>
      <w:r w:rsidR="00B87E51">
        <w:t xml:space="preserve">interface to add the </w:t>
      </w:r>
      <w:r w:rsidR="005C5745">
        <w:t xml:space="preserve">scenario data of uncertain market variables (demand, price, material costs, and fixed costs). </w:t>
      </w:r>
    </w:p>
    <w:p w14:paraId="113E759F" w14:textId="05E1A0CC" w:rsidR="005E3814" w:rsidRDefault="00904A6B" w:rsidP="00573B85">
      <w:r>
        <w:lastRenderedPageBreak/>
        <w:t xml:space="preserve">The </w:t>
      </w:r>
      <w:r w:rsidR="005C5745">
        <w:t xml:space="preserve">Excel “What-if” </w:t>
      </w:r>
      <w:r>
        <w:t>function generates a scenario analysis report summarizing t</w:t>
      </w:r>
      <w:r w:rsidR="005C5745">
        <w:t xml:space="preserve">he </w:t>
      </w:r>
      <w:r w:rsidR="003914B6">
        <w:t>economic evaluation results</w:t>
      </w:r>
      <w:r w:rsidR="005C5745">
        <w:t xml:space="preserve"> under these scenarios</w:t>
      </w:r>
      <w:r>
        <w:t>.</w:t>
      </w:r>
    </w:p>
    <w:tbl>
      <w:tblPr>
        <w:tblW w:w="9360" w:type="dxa"/>
        <w:tblCellMar>
          <w:top w:w="72" w:type="dxa"/>
          <w:bottom w:w="72" w:type="dxa"/>
        </w:tblCellMar>
        <w:tblLook w:val="04A0" w:firstRow="1" w:lastRow="0" w:firstColumn="1" w:lastColumn="0" w:noHBand="0" w:noVBand="1"/>
      </w:tblPr>
      <w:tblGrid>
        <w:gridCol w:w="3044"/>
        <w:gridCol w:w="2137"/>
        <w:gridCol w:w="2042"/>
        <w:gridCol w:w="2137"/>
      </w:tblGrid>
      <w:tr w:rsidR="00AB20CB" w:rsidRPr="00AB20CB" w14:paraId="0CB084A5" w14:textId="77777777" w:rsidTr="00FE1C19">
        <w:trPr>
          <w:trHeight w:val="315"/>
        </w:trPr>
        <w:tc>
          <w:tcPr>
            <w:tcW w:w="9360" w:type="dxa"/>
            <w:gridSpan w:val="4"/>
            <w:shd w:val="clear" w:color="auto" w:fill="auto"/>
            <w:noWrap/>
            <w:vAlign w:val="bottom"/>
            <w:hideMark/>
          </w:tcPr>
          <w:p w14:paraId="2C31C71E" w14:textId="1B23FDFA" w:rsidR="00AB20CB" w:rsidRPr="00AB20CB" w:rsidRDefault="00AB20CB" w:rsidP="00573B85">
            <w:pPr>
              <w:rPr>
                <w:rFonts w:ascii="Calibri" w:eastAsia="Times New Roman" w:hAnsi="Calibri" w:cs="Calibri"/>
                <w:b/>
                <w:bCs/>
                <w:color w:val="FFFFFF"/>
                <w:kern w:val="0"/>
                <w14:ligatures w14:val="none"/>
              </w:rPr>
            </w:pPr>
            <w:r w:rsidRPr="00AB20CB">
              <w:rPr>
                <w:rFonts w:ascii="Calibri" w:eastAsia="Times New Roman" w:hAnsi="Calibri" w:cs="Calibri"/>
                <w:b/>
                <w:bCs/>
                <w:kern w:val="0"/>
                <w14:ligatures w14:val="none"/>
              </w:rPr>
              <w:t xml:space="preserve">Scenario </w:t>
            </w:r>
            <w:r w:rsidR="00CA6AD1" w:rsidRPr="00FE1C19">
              <w:rPr>
                <w:rFonts w:ascii="Calibri" w:eastAsia="Times New Roman" w:hAnsi="Calibri" w:cs="Calibri"/>
                <w:b/>
                <w:bCs/>
                <w:kern w:val="0"/>
                <w14:ligatures w14:val="none"/>
              </w:rPr>
              <w:t xml:space="preserve">Analysis </w:t>
            </w:r>
            <w:r w:rsidR="002B5895" w:rsidRPr="00FE1C19">
              <w:rPr>
                <w:rFonts w:ascii="Calibri" w:eastAsia="Times New Roman" w:hAnsi="Calibri" w:cs="Calibri"/>
                <w:b/>
                <w:bCs/>
                <w:kern w:val="0"/>
                <w14:ligatures w14:val="none"/>
              </w:rPr>
              <w:t>Report</w:t>
            </w:r>
            <w:r w:rsidRPr="00AB20CB">
              <w:rPr>
                <w:rFonts w:ascii="Calibri" w:eastAsia="Times New Roman" w:hAnsi="Calibri" w:cs="Calibri"/>
                <w:b/>
                <w:bCs/>
                <w:kern w:val="0"/>
                <w14:ligatures w14:val="none"/>
              </w:rPr>
              <w:t xml:space="preserve"> (</w:t>
            </w:r>
            <w:r w:rsidR="00E90866" w:rsidRPr="00FE1C19">
              <w:rPr>
                <w:rFonts w:ascii="Calibri" w:eastAsia="Times New Roman" w:hAnsi="Calibri" w:cs="Calibri"/>
                <w:b/>
                <w:bCs/>
                <w:kern w:val="0"/>
                <w14:ligatures w14:val="none"/>
              </w:rPr>
              <w:t xml:space="preserve">Decision: </w:t>
            </w:r>
            <w:r w:rsidR="00985F0F" w:rsidRPr="00AB20CB">
              <w:rPr>
                <w:rFonts w:ascii="Calibri" w:eastAsia="Times New Roman" w:hAnsi="Calibri" w:cs="Calibri"/>
                <w:b/>
                <w:bCs/>
                <w:kern w:val="0"/>
                <w14:ligatures w14:val="none"/>
              </w:rPr>
              <w:t>four</w:t>
            </w:r>
            <w:r w:rsidRPr="00AB20CB">
              <w:rPr>
                <w:rFonts w:ascii="Calibri" w:eastAsia="Times New Roman" w:hAnsi="Calibri" w:cs="Calibri"/>
                <w:b/>
                <w:bCs/>
                <w:kern w:val="0"/>
                <w14:ligatures w14:val="none"/>
              </w:rPr>
              <w:t xml:space="preserve"> machines)</w:t>
            </w:r>
          </w:p>
        </w:tc>
      </w:tr>
      <w:tr w:rsidR="002B5895" w:rsidRPr="00AB20CB" w14:paraId="1B5EB497" w14:textId="77777777" w:rsidTr="00573B85">
        <w:trPr>
          <w:trHeight w:val="288"/>
        </w:trPr>
        <w:tc>
          <w:tcPr>
            <w:tcW w:w="3044" w:type="dxa"/>
            <w:shd w:val="clear" w:color="auto" w:fill="5B9BD5" w:themeFill="accent5"/>
            <w:noWrap/>
            <w:vAlign w:val="center"/>
            <w:hideMark/>
          </w:tcPr>
          <w:p w14:paraId="6ADD7100" w14:textId="46A99E99" w:rsidR="002B5895" w:rsidRPr="00AB20CB" w:rsidRDefault="002B5895" w:rsidP="00573B85">
            <w:pPr>
              <w:jc w:val="center"/>
            </w:pPr>
            <w:r w:rsidRPr="002B5895">
              <w:t>Scenario</w:t>
            </w:r>
          </w:p>
        </w:tc>
        <w:tc>
          <w:tcPr>
            <w:tcW w:w="2137" w:type="dxa"/>
            <w:shd w:val="clear" w:color="auto" w:fill="5B9BD5" w:themeFill="accent5"/>
            <w:noWrap/>
            <w:vAlign w:val="center"/>
            <w:hideMark/>
          </w:tcPr>
          <w:p w14:paraId="4C44FCA5" w14:textId="698C1C7D" w:rsidR="002B5895" w:rsidRPr="00AB20CB" w:rsidRDefault="002B5895" w:rsidP="00573B85">
            <w:pPr>
              <w:jc w:val="center"/>
            </w:pPr>
            <w:r w:rsidRPr="00AB20CB">
              <w:t>Best</w:t>
            </w:r>
            <w:r w:rsidRPr="002B5895">
              <w:t xml:space="preserve"> case</w:t>
            </w:r>
          </w:p>
        </w:tc>
        <w:tc>
          <w:tcPr>
            <w:tcW w:w="2042" w:type="dxa"/>
            <w:shd w:val="clear" w:color="auto" w:fill="5B9BD5" w:themeFill="accent5"/>
            <w:noWrap/>
            <w:vAlign w:val="center"/>
            <w:hideMark/>
          </w:tcPr>
          <w:p w14:paraId="0D9D124C" w14:textId="7CD15101" w:rsidR="002B5895" w:rsidRPr="00AB20CB" w:rsidRDefault="002B5895" w:rsidP="00573B85">
            <w:pPr>
              <w:jc w:val="center"/>
            </w:pPr>
            <w:r w:rsidRPr="00AB20CB">
              <w:t>Likely case</w:t>
            </w:r>
          </w:p>
        </w:tc>
        <w:tc>
          <w:tcPr>
            <w:tcW w:w="2137" w:type="dxa"/>
            <w:shd w:val="clear" w:color="auto" w:fill="5B9BD5" w:themeFill="accent5"/>
            <w:noWrap/>
            <w:vAlign w:val="center"/>
            <w:hideMark/>
          </w:tcPr>
          <w:p w14:paraId="5DD3A49B" w14:textId="5BC12744" w:rsidR="002B5895" w:rsidRPr="00AB20CB" w:rsidRDefault="002B5895" w:rsidP="00573B85">
            <w:pPr>
              <w:jc w:val="center"/>
            </w:pPr>
            <w:r w:rsidRPr="00AB20CB">
              <w:t>Worst</w:t>
            </w:r>
            <w:r w:rsidRPr="002B5895">
              <w:t xml:space="preserve"> case</w:t>
            </w:r>
          </w:p>
        </w:tc>
      </w:tr>
      <w:tr w:rsidR="002B5895" w:rsidRPr="00AB20CB" w14:paraId="3D644E0E" w14:textId="77777777" w:rsidTr="00573B85">
        <w:trPr>
          <w:trHeight w:val="288"/>
        </w:trPr>
        <w:tc>
          <w:tcPr>
            <w:tcW w:w="3044" w:type="dxa"/>
            <w:tcBorders>
              <w:top w:val="single" w:sz="4" w:space="0" w:color="auto"/>
            </w:tcBorders>
            <w:shd w:val="clear" w:color="auto" w:fill="DEEAF6" w:themeFill="accent5" w:themeFillTint="33"/>
            <w:noWrap/>
            <w:vAlign w:val="center"/>
            <w:hideMark/>
          </w:tcPr>
          <w:p w14:paraId="08FCE07F" w14:textId="77777777" w:rsidR="002B5895" w:rsidRPr="00AB20CB" w:rsidRDefault="002B5895" w:rsidP="00573B85">
            <w:pPr>
              <w:jc w:val="center"/>
              <w:rPr>
                <w:color w:val="000000"/>
              </w:rPr>
            </w:pPr>
            <w:r w:rsidRPr="00AB20CB">
              <w:rPr>
                <w:color w:val="000000"/>
              </w:rPr>
              <w:t>Incremental profit</w:t>
            </w:r>
          </w:p>
        </w:tc>
        <w:tc>
          <w:tcPr>
            <w:tcW w:w="2137" w:type="dxa"/>
            <w:tcBorders>
              <w:top w:val="single" w:sz="4" w:space="0" w:color="auto"/>
            </w:tcBorders>
            <w:shd w:val="clear" w:color="auto" w:fill="DEEAF6" w:themeFill="accent5" w:themeFillTint="33"/>
            <w:noWrap/>
            <w:vAlign w:val="center"/>
            <w:hideMark/>
          </w:tcPr>
          <w:p w14:paraId="683D15D7" w14:textId="678F2EDA" w:rsidR="002B5895" w:rsidRPr="00AB20CB" w:rsidRDefault="002B5895" w:rsidP="00573B85">
            <w:pPr>
              <w:jc w:val="center"/>
              <w:rPr>
                <w:color w:val="000000"/>
              </w:rPr>
            </w:pPr>
            <w:r w:rsidRPr="00AB20CB">
              <w:rPr>
                <w:color w:val="000000"/>
              </w:rPr>
              <w:t>$ 1,331,200</w:t>
            </w:r>
          </w:p>
        </w:tc>
        <w:tc>
          <w:tcPr>
            <w:tcW w:w="2042" w:type="dxa"/>
            <w:tcBorders>
              <w:top w:val="single" w:sz="4" w:space="0" w:color="auto"/>
            </w:tcBorders>
            <w:shd w:val="clear" w:color="auto" w:fill="DEEAF6" w:themeFill="accent5" w:themeFillTint="33"/>
            <w:noWrap/>
            <w:vAlign w:val="center"/>
            <w:hideMark/>
          </w:tcPr>
          <w:p w14:paraId="0A7BD1AB" w14:textId="35CA01AC" w:rsidR="002B5895" w:rsidRPr="00AB20CB" w:rsidRDefault="002B5895" w:rsidP="00573B85">
            <w:pPr>
              <w:jc w:val="center"/>
              <w:rPr>
                <w:color w:val="000000"/>
              </w:rPr>
            </w:pPr>
            <w:r w:rsidRPr="00AB20CB">
              <w:rPr>
                <w:color w:val="000000"/>
              </w:rPr>
              <w:t>$ 1,224,000</w:t>
            </w:r>
          </w:p>
        </w:tc>
        <w:tc>
          <w:tcPr>
            <w:tcW w:w="2137" w:type="dxa"/>
            <w:tcBorders>
              <w:top w:val="single" w:sz="4" w:space="0" w:color="auto"/>
            </w:tcBorders>
            <w:shd w:val="clear" w:color="auto" w:fill="DEEAF6" w:themeFill="accent5" w:themeFillTint="33"/>
            <w:noWrap/>
            <w:vAlign w:val="center"/>
            <w:hideMark/>
          </w:tcPr>
          <w:p w14:paraId="4B274A90" w14:textId="21AEF48F" w:rsidR="002B5895" w:rsidRPr="00AB20CB" w:rsidRDefault="002B5895" w:rsidP="00573B85">
            <w:pPr>
              <w:jc w:val="center"/>
              <w:rPr>
                <w:color w:val="000000"/>
              </w:rPr>
            </w:pPr>
            <w:r w:rsidRPr="002B5895">
              <w:rPr>
                <w:color w:val="000000"/>
              </w:rPr>
              <w:t>-</w:t>
            </w:r>
            <w:r w:rsidRPr="00AB20CB">
              <w:rPr>
                <w:color w:val="000000"/>
              </w:rPr>
              <w:t>$ 1,454,400</w:t>
            </w:r>
          </w:p>
        </w:tc>
      </w:tr>
      <w:tr w:rsidR="002B5895" w:rsidRPr="00AB20CB" w14:paraId="54697BCE" w14:textId="77777777" w:rsidTr="00573B85">
        <w:trPr>
          <w:trHeight w:val="369"/>
        </w:trPr>
        <w:tc>
          <w:tcPr>
            <w:tcW w:w="3044" w:type="dxa"/>
            <w:tcBorders>
              <w:bottom w:val="single" w:sz="4" w:space="0" w:color="auto"/>
            </w:tcBorders>
            <w:shd w:val="clear" w:color="9999FF" w:fill="FFFFFF"/>
            <w:noWrap/>
            <w:vAlign w:val="center"/>
            <w:hideMark/>
          </w:tcPr>
          <w:p w14:paraId="4C133D76" w14:textId="1C7B164A" w:rsidR="002B5895" w:rsidRPr="00AB20CB" w:rsidRDefault="002B5895" w:rsidP="00573B85">
            <w:pPr>
              <w:jc w:val="center"/>
              <w:rPr>
                <w:color w:val="000000"/>
              </w:rPr>
            </w:pPr>
            <w:r w:rsidRPr="00AB20CB">
              <w:rPr>
                <w:color w:val="000000"/>
              </w:rPr>
              <w:t>Return of Investment</w:t>
            </w:r>
          </w:p>
        </w:tc>
        <w:tc>
          <w:tcPr>
            <w:tcW w:w="2137" w:type="dxa"/>
            <w:tcBorders>
              <w:bottom w:val="single" w:sz="4" w:space="0" w:color="auto"/>
            </w:tcBorders>
            <w:shd w:val="clear" w:color="auto" w:fill="auto"/>
            <w:noWrap/>
            <w:vAlign w:val="center"/>
            <w:hideMark/>
          </w:tcPr>
          <w:p w14:paraId="1929B18F" w14:textId="466E60ED" w:rsidR="002B5895" w:rsidRPr="00AB20CB" w:rsidRDefault="002B5895" w:rsidP="00573B85">
            <w:pPr>
              <w:jc w:val="center"/>
              <w:rPr>
                <w:color w:val="000000"/>
              </w:rPr>
            </w:pPr>
            <w:r w:rsidRPr="00AB20CB">
              <w:rPr>
                <w:color w:val="000000"/>
              </w:rPr>
              <w:t>44%</w:t>
            </w:r>
          </w:p>
        </w:tc>
        <w:tc>
          <w:tcPr>
            <w:tcW w:w="2042" w:type="dxa"/>
            <w:tcBorders>
              <w:bottom w:val="single" w:sz="4" w:space="0" w:color="auto"/>
            </w:tcBorders>
            <w:shd w:val="clear" w:color="auto" w:fill="auto"/>
            <w:noWrap/>
            <w:vAlign w:val="center"/>
            <w:hideMark/>
          </w:tcPr>
          <w:p w14:paraId="6F8D7EAF" w14:textId="5B453C59" w:rsidR="002B5895" w:rsidRPr="00AB20CB" w:rsidRDefault="002B5895" w:rsidP="00573B85">
            <w:pPr>
              <w:jc w:val="center"/>
              <w:rPr>
                <w:color w:val="000000"/>
              </w:rPr>
            </w:pPr>
            <w:r w:rsidRPr="00AB20CB">
              <w:rPr>
                <w:color w:val="000000"/>
              </w:rPr>
              <w:t>42%</w:t>
            </w:r>
          </w:p>
        </w:tc>
        <w:tc>
          <w:tcPr>
            <w:tcW w:w="2137" w:type="dxa"/>
            <w:tcBorders>
              <w:bottom w:val="single" w:sz="4" w:space="0" w:color="auto"/>
            </w:tcBorders>
            <w:shd w:val="clear" w:color="auto" w:fill="auto"/>
            <w:noWrap/>
            <w:vAlign w:val="center"/>
            <w:hideMark/>
          </w:tcPr>
          <w:p w14:paraId="2241E135" w14:textId="65C8A2D4" w:rsidR="002B5895" w:rsidRPr="00AB20CB" w:rsidRDefault="002B5895" w:rsidP="00573B85">
            <w:pPr>
              <w:jc w:val="center"/>
              <w:rPr>
                <w:color w:val="000000"/>
              </w:rPr>
            </w:pPr>
            <w:r w:rsidRPr="00AB20CB">
              <w:rPr>
                <w:color w:val="000000"/>
              </w:rPr>
              <w:t>-50%</w:t>
            </w:r>
          </w:p>
        </w:tc>
      </w:tr>
    </w:tbl>
    <w:p w14:paraId="243319FF" w14:textId="77777777" w:rsidR="005E3814" w:rsidRDefault="005E3814" w:rsidP="00573B85"/>
    <w:p w14:paraId="6BB9914C" w14:textId="5A4BD558" w:rsidR="00DC45EB" w:rsidRDefault="00DC45EB" w:rsidP="00761BCF">
      <w:pPr>
        <w:pStyle w:val="Heading4"/>
      </w:pPr>
      <w:r>
        <w:t xml:space="preserve">Enhancing Decision-Making with Scenario Analysis </w:t>
      </w:r>
    </w:p>
    <w:p w14:paraId="02A550E7" w14:textId="5A3112E5" w:rsidR="00331474" w:rsidRDefault="005C5745" w:rsidP="005A49E4">
      <w:r>
        <w:t>While s</w:t>
      </w:r>
      <w:r w:rsidR="00331474" w:rsidRPr="00331474">
        <w:t xml:space="preserve">cenario analysis </w:t>
      </w:r>
      <w:r>
        <w:t xml:space="preserve">appears to be easy to implement with the help of Excel functions, the tool </w:t>
      </w:r>
      <w:r w:rsidRPr="005C5745">
        <w:t xml:space="preserve">provides a comprehensive view of </w:t>
      </w:r>
      <w:r>
        <w:t xml:space="preserve">the </w:t>
      </w:r>
      <w:r w:rsidRPr="005C5745">
        <w:t>potential outcomes</w:t>
      </w:r>
      <w:r>
        <w:t xml:space="preserve"> of a decision under uncertain situations</w:t>
      </w:r>
      <w:r w:rsidRPr="005C5745">
        <w:t>, aiding in</w:t>
      </w:r>
      <w:r>
        <w:t xml:space="preserve"> analytical</w:t>
      </w:r>
      <w:r w:rsidRPr="005C5745">
        <w:t xml:space="preserve"> decision-making. </w:t>
      </w:r>
      <w:r>
        <w:t>W</w:t>
      </w:r>
      <w:r w:rsidRPr="005C5745">
        <w:t xml:space="preserve">ith the scenario analysis, </w:t>
      </w:r>
      <w:r>
        <w:t xml:space="preserve">for example, </w:t>
      </w:r>
      <w:r w:rsidRPr="005C5745">
        <w:t xml:space="preserve">the company can compare </w:t>
      </w:r>
      <w:r>
        <w:t xml:space="preserve">the </w:t>
      </w:r>
      <w:r w:rsidRPr="005C5745">
        <w:t xml:space="preserve">financial performance </w:t>
      </w:r>
      <w:r>
        <w:t xml:space="preserve">of </w:t>
      </w:r>
      <w:r w:rsidRPr="005C5745">
        <w:t>different investment options</w:t>
      </w:r>
      <w:r>
        <w:t xml:space="preserve"> under the three scenarios</w:t>
      </w:r>
      <w:r w:rsidR="00331474" w:rsidRPr="00331474">
        <w:t>:</w:t>
      </w:r>
    </w:p>
    <w:p w14:paraId="686A7FA2" w14:textId="65E99296" w:rsidR="005A49E4" w:rsidRPr="005A49E4" w:rsidRDefault="005A49E4" w:rsidP="005A49E4">
      <w:pPr>
        <w:rPr>
          <w:lang w:eastAsia="zh-CN"/>
        </w:rPr>
      </w:pPr>
      <w:r>
        <w:rPr>
          <w:lang w:eastAsia="zh-CN"/>
        </w:rPr>
        <w:t>I</w:t>
      </w:r>
      <w:r w:rsidRPr="005A49E4">
        <w:rPr>
          <w:lang w:eastAsia="zh-CN"/>
        </w:rPr>
        <w:t xml:space="preserve">nvestment </w:t>
      </w:r>
      <w:r w:rsidR="005C5745">
        <w:rPr>
          <w:lang w:eastAsia="zh-CN"/>
        </w:rPr>
        <w:t>O</w:t>
      </w:r>
      <w:r>
        <w:rPr>
          <w:lang w:eastAsia="zh-CN"/>
        </w:rPr>
        <w:t>ption 1</w:t>
      </w:r>
      <w:r w:rsidR="005C5745">
        <w:rPr>
          <w:lang w:eastAsia="zh-CN"/>
        </w:rPr>
        <w:t xml:space="preserve"> - </w:t>
      </w:r>
      <w:r w:rsidRPr="005A49E4">
        <w:rPr>
          <w:lang w:eastAsia="zh-CN"/>
        </w:rPr>
        <w:t xml:space="preserve">Four </w:t>
      </w:r>
      <w:r>
        <w:rPr>
          <w:lang w:eastAsia="zh-CN"/>
        </w:rPr>
        <w:t>m</w:t>
      </w:r>
      <w:r w:rsidRPr="005A49E4">
        <w:rPr>
          <w:lang w:eastAsia="zh-CN"/>
        </w:rPr>
        <w:t>achines:</w:t>
      </w:r>
    </w:p>
    <w:p w14:paraId="58AF64CF" w14:textId="77777777" w:rsidR="005A49E4" w:rsidRPr="005A49E4" w:rsidRDefault="005A49E4" w:rsidP="00D81274">
      <w:pPr>
        <w:pStyle w:val="ListParagraph"/>
        <w:numPr>
          <w:ilvl w:val="0"/>
          <w:numId w:val="8"/>
        </w:numPr>
        <w:rPr>
          <w:lang w:eastAsia="zh-CN"/>
        </w:rPr>
      </w:pPr>
      <w:r w:rsidRPr="005A49E4">
        <w:rPr>
          <w:lang w:eastAsia="zh-CN"/>
        </w:rPr>
        <w:t>Best Case: Profit of $1.33 million with a 44% ROI.</w:t>
      </w:r>
    </w:p>
    <w:p w14:paraId="5BBB35CF" w14:textId="77777777" w:rsidR="005A49E4" w:rsidRPr="005A49E4" w:rsidRDefault="005A49E4" w:rsidP="00D81274">
      <w:pPr>
        <w:pStyle w:val="ListParagraph"/>
        <w:numPr>
          <w:ilvl w:val="0"/>
          <w:numId w:val="8"/>
        </w:numPr>
        <w:rPr>
          <w:lang w:eastAsia="zh-CN"/>
        </w:rPr>
      </w:pPr>
      <w:r w:rsidRPr="005A49E4">
        <w:rPr>
          <w:lang w:eastAsia="zh-CN"/>
        </w:rPr>
        <w:t>Likely Case: Profit of $1.22 million with a 42% ROI.</w:t>
      </w:r>
    </w:p>
    <w:p w14:paraId="380C3385" w14:textId="77777777" w:rsidR="005A49E4" w:rsidRPr="005A49E4" w:rsidRDefault="005A49E4" w:rsidP="00D81274">
      <w:pPr>
        <w:pStyle w:val="ListParagraph"/>
        <w:numPr>
          <w:ilvl w:val="0"/>
          <w:numId w:val="8"/>
        </w:numPr>
        <w:rPr>
          <w:lang w:eastAsia="zh-CN"/>
        </w:rPr>
      </w:pPr>
      <w:r w:rsidRPr="005A49E4">
        <w:rPr>
          <w:lang w:eastAsia="zh-CN"/>
        </w:rPr>
        <w:t>Worst Case: Loss of $1.45 million with a -50% ROI.</w:t>
      </w:r>
    </w:p>
    <w:p w14:paraId="63FAA24C" w14:textId="7845A51B" w:rsidR="005A49E4" w:rsidRPr="005A49E4" w:rsidRDefault="005A49E4" w:rsidP="00560C0C">
      <w:pPr>
        <w:rPr>
          <w:lang w:eastAsia="zh-CN"/>
        </w:rPr>
      </w:pPr>
      <w:r w:rsidRPr="005A49E4">
        <w:rPr>
          <w:lang w:eastAsia="zh-CN"/>
        </w:rPr>
        <w:t>Alternative Option:</w:t>
      </w:r>
      <w:r>
        <w:rPr>
          <w:lang w:eastAsia="zh-CN"/>
        </w:rPr>
        <w:t xml:space="preserve"> </w:t>
      </w:r>
      <w:r w:rsidRPr="005A49E4">
        <w:rPr>
          <w:lang w:eastAsia="zh-CN"/>
        </w:rPr>
        <w:t>Two Machines</w:t>
      </w:r>
    </w:p>
    <w:p w14:paraId="056FD415" w14:textId="5673DEBE" w:rsidR="005A49E4" w:rsidRDefault="005A49E4" w:rsidP="00D81274">
      <w:pPr>
        <w:pStyle w:val="ListParagraph"/>
        <w:numPr>
          <w:ilvl w:val="0"/>
          <w:numId w:val="8"/>
        </w:numPr>
        <w:rPr>
          <w:lang w:eastAsia="zh-CN"/>
        </w:rPr>
      </w:pPr>
      <w:r>
        <w:rPr>
          <w:lang w:eastAsia="zh-CN"/>
        </w:rPr>
        <w:t>Best</w:t>
      </w:r>
      <w:r w:rsidRPr="005A49E4">
        <w:rPr>
          <w:lang w:eastAsia="zh-CN"/>
        </w:rPr>
        <w:t xml:space="preserve"> Case: Profit of $</w:t>
      </w:r>
      <w:r w:rsidR="005C5745">
        <w:rPr>
          <w:lang w:eastAsia="zh-CN"/>
        </w:rPr>
        <w:t xml:space="preserve">0. </w:t>
      </w:r>
      <w:r w:rsidRPr="005A49E4">
        <w:rPr>
          <w:lang w:eastAsia="zh-CN"/>
        </w:rPr>
        <w:t>7</w:t>
      </w:r>
      <w:r w:rsidR="005C5745">
        <w:rPr>
          <w:lang w:eastAsia="zh-CN"/>
        </w:rPr>
        <w:t>5 million</w:t>
      </w:r>
      <w:r w:rsidRPr="005A49E4">
        <w:rPr>
          <w:lang w:eastAsia="zh-CN"/>
        </w:rPr>
        <w:t xml:space="preserve"> with a 50% ROI.</w:t>
      </w:r>
    </w:p>
    <w:p w14:paraId="21312084" w14:textId="426C32B6" w:rsidR="005A49E4" w:rsidRPr="005A49E4" w:rsidRDefault="005A49E4" w:rsidP="00D81274">
      <w:pPr>
        <w:pStyle w:val="ListParagraph"/>
        <w:numPr>
          <w:ilvl w:val="0"/>
          <w:numId w:val="8"/>
        </w:numPr>
        <w:rPr>
          <w:lang w:eastAsia="zh-CN"/>
        </w:rPr>
      </w:pPr>
      <w:r>
        <w:rPr>
          <w:lang w:eastAsia="zh-CN"/>
        </w:rPr>
        <w:t>Likely</w:t>
      </w:r>
      <w:r w:rsidRPr="005A49E4">
        <w:rPr>
          <w:lang w:eastAsia="zh-CN"/>
        </w:rPr>
        <w:t xml:space="preserve"> Case: Profit of $</w:t>
      </w:r>
      <w:r w:rsidR="005C5745">
        <w:rPr>
          <w:lang w:eastAsia="zh-CN"/>
        </w:rPr>
        <w:t>0.</w:t>
      </w:r>
      <w:r w:rsidRPr="005A49E4">
        <w:rPr>
          <w:lang w:eastAsia="zh-CN"/>
        </w:rPr>
        <w:t>65</w:t>
      </w:r>
      <w:r w:rsidR="005C5745">
        <w:rPr>
          <w:lang w:eastAsia="zh-CN"/>
        </w:rPr>
        <w:t xml:space="preserve"> million</w:t>
      </w:r>
      <w:r w:rsidRPr="005A49E4">
        <w:rPr>
          <w:lang w:eastAsia="zh-CN"/>
        </w:rPr>
        <w:t xml:space="preserve"> with a 44% ROI.</w:t>
      </w:r>
    </w:p>
    <w:p w14:paraId="1E0A4E26" w14:textId="36B73CD0" w:rsidR="00D10B6D" w:rsidRDefault="005A49E4" w:rsidP="00D81274">
      <w:pPr>
        <w:pStyle w:val="ListParagraph"/>
        <w:numPr>
          <w:ilvl w:val="0"/>
          <w:numId w:val="8"/>
        </w:numPr>
        <w:rPr>
          <w:lang w:eastAsia="zh-CN"/>
        </w:rPr>
      </w:pPr>
      <w:r>
        <w:rPr>
          <w:lang w:eastAsia="zh-CN"/>
        </w:rPr>
        <w:lastRenderedPageBreak/>
        <w:t xml:space="preserve">Worst </w:t>
      </w:r>
      <w:r w:rsidRPr="005A49E4">
        <w:rPr>
          <w:lang w:eastAsia="zh-CN"/>
        </w:rPr>
        <w:t>Case: Break-even.</w:t>
      </w:r>
    </w:p>
    <w:p w14:paraId="1DB9B17C" w14:textId="77777777" w:rsidR="00F6338D" w:rsidRPr="00F6338D" w:rsidRDefault="00F6338D" w:rsidP="00F6338D">
      <w:pPr>
        <w:rPr>
          <w:b/>
          <w:bCs/>
        </w:rPr>
      </w:pPr>
      <w:r w:rsidRPr="00F6338D">
        <w:rPr>
          <w:b/>
          <w:bCs/>
        </w:rPr>
        <w:t>Conclusion</w:t>
      </w:r>
    </w:p>
    <w:p w14:paraId="77DAA34E" w14:textId="337EAD41" w:rsidR="00F6338D" w:rsidRDefault="00F6338D" w:rsidP="00F6338D">
      <w:r>
        <w:t>The final decision depends on financial performance and the company's risk tolerance. A conservative manufacturer with thin profit margins may prefer the two-machine option to avoid potential losses. Alternatively, a four-machine investment could capture market growth opportunities but comes with a higher risk. Scenario analysis helps the COO navigate these trade-offs and make an informed decision aligned with the company's strategic goals.</w:t>
      </w:r>
    </w:p>
    <w:p w14:paraId="19B7EF8F" w14:textId="77777777" w:rsidR="00F6338D" w:rsidRPr="00F6338D" w:rsidRDefault="00F6338D" w:rsidP="00F6338D">
      <w:pPr>
        <w:rPr>
          <w:b/>
          <w:bCs/>
        </w:rPr>
      </w:pPr>
      <w:r w:rsidRPr="00F6338D">
        <w:rPr>
          <w:b/>
          <w:bCs/>
        </w:rPr>
        <w:t>Lessons Learned</w:t>
      </w:r>
    </w:p>
    <w:p w14:paraId="406DFD1E" w14:textId="77777777" w:rsidR="00F6338D" w:rsidRDefault="00F6338D" w:rsidP="00D81274">
      <w:pPr>
        <w:pStyle w:val="ListParagraph"/>
        <w:numPr>
          <w:ilvl w:val="0"/>
          <w:numId w:val="34"/>
        </w:numPr>
      </w:pPr>
      <w:r>
        <w:t>Informed Decision-Making: Scenario analysis empowers a decision-maker to weigh potential outcomes against risks, leading to more balanced and data-driven investment choices.</w:t>
      </w:r>
    </w:p>
    <w:p w14:paraId="56943C44" w14:textId="77777777" w:rsidR="00F6338D" w:rsidRDefault="00F6338D" w:rsidP="00D81274">
      <w:pPr>
        <w:pStyle w:val="ListParagraph"/>
        <w:numPr>
          <w:ilvl w:val="0"/>
          <w:numId w:val="34"/>
        </w:numPr>
      </w:pPr>
      <w:r>
        <w:t xml:space="preserve">Risk Management: The study underscores the importance of aligning investments with risk tolerance to avoid significant losses and ensure the company's financial stability. </w:t>
      </w:r>
    </w:p>
    <w:p w14:paraId="47D30D4A" w14:textId="60139B0F" w:rsidR="00331474" w:rsidRDefault="00F6338D" w:rsidP="00D81274">
      <w:pPr>
        <w:pStyle w:val="ListParagraph"/>
        <w:numPr>
          <w:ilvl w:val="0"/>
          <w:numId w:val="34"/>
        </w:numPr>
      </w:pPr>
      <w:r>
        <w:t>Strategic Flexibility: The case shows the need for adaptable investment strategies, allowing the company to scale investment decisions based on market conditions and risk tolerance</w:t>
      </w:r>
      <w:r w:rsidR="00331474">
        <w:t>.</w:t>
      </w:r>
    </w:p>
    <w:p w14:paraId="604CA21B" w14:textId="3D1214BE" w:rsidR="004826B3" w:rsidRDefault="004826B3" w:rsidP="004826B3">
      <w:pPr>
        <w:pStyle w:val="Heading3"/>
      </w:pPr>
      <w:bookmarkStart w:id="81" w:name="_Hlk162949490"/>
      <w:r>
        <w:t xml:space="preserve">limitations of </w:t>
      </w:r>
      <w:r w:rsidR="00F6338D">
        <w:t>S</w:t>
      </w:r>
      <w:r>
        <w:t xml:space="preserve">cenario </w:t>
      </w:r>
      <w:r w:rsidR="00F6338D">
        <w:t>A</w:t>
      </w:r>
      <w:r>
        <w:t>nalysis</w:t>
      </w:r>
    </w:p>
    <w:p w14:paraId="16C46037" w14:textId="61BE6605" w:rsidR="00761BCF" w:rsidRDefault="00F6338D" w:rsidP="00560C0C">
      <w:bookmarkStart w:id="82" w:name="_Hlk163052872"/>
      <w:r w:rsidRPr="00F6338D">
        <w:t>As the business case illustrates, scenario analysis enhances decision-making by offering flexibility and efficient data usage. However, focusing on extreme best-case and worst-case scenarios can be misleading, as these extremes may have low probabilities of occurring. Businesses must recognize this limitation and use scenario analysis as a dynamic tool that informs strategic decisions rather than a routine exercise</w:t>
      </w:r>
      <w:r w:rsidR="00560C0C">
        <w:t>.</w:t>
      </w:r>
    </w:p>
    <w:bookmarkEnd w:id="82"/>
    <w:p w14:paraId="07DBDB03" w14:textId="77777777" w:rsidR="005354EB" w:rsidRDefault="005354EB" w:rsidP="00BD2145"/>
    <w:p w14:paraId="44DD36B1" w14:textId="77777777" w:rsidR="003D1E5F" w:rsidRDefault="003D1E5F" w:rsidP="00BD2145"/>
    <w:p w14:paraId="5F015CD6" w14:textId="77777777" w:rsidR="004826B3" w:rsidRDefault="004826B3" w:rsidP="004826B3">
      <w:pPr>
        <w:pStyle w:val="Heading2"/>
      </w:pPr>
      <w:bookmarkStart w:id="83" w:name="_Toc191026946"/>
      <w:bookmarkEnd w:id="77"/>
      <w:bookmarkEnd w:id="79"/>
      <w:bookmarkEnd w:id="81"/>
      <w:r>
        <w:lastRenderedPageBreak/>
        <w:t>Monte Carlo Simulation</w:t>
      </w:r>
      <w:bookmarkEnd w:id="83"/>
    </w:p>
    <w:p w14:paraId="1157C01C" w14:textId="7F42C1D5" w:rsidR="00F6338D" w:rsidRDefault="00F6338D" w:rsidP="00F6338D">
      <w:r>
        <w:t>Scenario analysis evaluates distinct scenarios—such as best case, worst case, and most likely case—to estimate the range of possible outcomes based on predefined conditions. While these scenarios provide directional insights, they can oversimplify reality by focusing on a limited view of potential outcomes and not fully addressing the associated probabilities.</w:t>
      </w:r>
    </w:p>
    <w:p w14:paraId="6E719E87" w14:textId="77777777" w:rsidR="00F6338D" w:rsidRDefault="00F6338D" w:rsidP="00F6338D">
      <w:r>
        <w:t>Monte Carlo Simulation extends scenario analysis by offering a comprehensive view of potential outcomes through random sampling. Named after Monaco's casino, this method models uncertainties similarly to gambling, generating thousands of outcomes through repeated random sampling to reflect real-world variability. Each simulation iteration uses random inputs based on the statistical distributions of uncertain variables, creating a detailed probability distribution of potential results. This method enhances decision-making in several ways:</w:t>
      </w:r>
    </w:p>
    <w:p w14:paraId="17DB8F44" w14:textId="77777777" w:rsidR="00F6338D" w:rsidRDefault="00F6338D" w:rsidP="00D81274">
      <w:pPr>
        <w:pStyle w:val="ListParagraph"/>
        <w:numPr>
          <w:ilvl w:val="0"/>
          <w:numId w:val="35"/>
        </w:numPr>
      </w:pPr>
      <w:r>
        <w:t>Expansive Exploration of Possibilities: Monte Carlo Simulation covers a wide spectrum of potential scenarios far beyond the limited scope of traditional scenario analysis, offering a comprehensive view of uncertainty.</w:t>
      </w:r>
    </w:p>
    <w:p w14:paraId="5D13DEAC" w14:textId="77777777" w:rsidR="00F6338D" w:rsidRDefault="00F6338D" w:rsidP="00D81274">
      <w:pPr>
        <w:pStyle w:val="ListParagraph"/>
        <w:numPr>
          <w:ilvl w:val="0"/>
          <w:numId w:val="35"/>
        </w:numPr>
      </w:pPr>
      <w:r>
        <w:t>Probabilistic Inputs: Unlike scenario analysis, which often relies on fixed inputs, Monte Carlo Simulation uses probabilistic distributions, capturing the true variability and uncertainty of real-world conditions.</w:t>
      </w:r>
    </w:p>
    <w:p w14:paraId="5E524473" w14:textId="77777777" w:rsidR="00F6338D" w:rsidRDefault="00F6338D" w:rsidP="00D81274">
      <w:pPr>
        <w:pStyle w:val="ListParagraph"/>
        <w:numPr>
          <w:ilvl w:val="0"/>
          <w:numId w:val="35"/>
        </w:numPr>
      </w:pPr>
      <w:r>
        <w:t>Detailed Probability Distributions: Monte Carlo Simulation doesn't just present a few possible outcomes; it generates a full probability distribution, allowing decision-makers to assess risks and benefits with specific confidence levels.</w:t>
      </w:r>
    </w:p>
    <w:p w14:paraId="1518D30F" w14:textId="77777777" w:rsidR="00F6338D" w:rsidRDefault="00F6338D" w:rsidP="00D81274">
      <w:pPr>
        <w:pStyle w:val="ListParagraph"/>
        <w:numPr>
          <w:ilvl w:val="0"/>
          <w:numId w:val="35"/>
        </w:numPr>
      </w:pPr>
      <w:r>
        <w:t>Modeling Interdependencies: This method can also account for complex interdependencies between variables, providing insights into how combined uncertainties might influence overall outcomes.</w:t>
      </w:r>
    </w:p>
    <w:p w14:paraId="2E49CC3D" w14:textId="7F123476" w:rsidR="00A9622F" w:rsidRDefault="00F6338D" w:rsidP="00A9622F">
      <w:r>
        <w:lastRenderedPageBreak/>
        <w:t>By incorporating these enhancements, Monte Carlo Simulation provides a richer, more detailed analysis than traditional scenario analysis, helping decision-makers navigate uncertainties with greater precision and confidence.</w:t>
      </w:r>
    </w:p>
    <w:p w14:paraId="1AF9B8AC" w14:textId="77777777" w:rsidR="008D279C" w:rsidRDefault="008D279C" w:rsidP="003D1E5F"/>
    <w:p w14:paraId="22D6206B" w14:textId="6FA636C0" w:rsidR="00DD7907" w:rsidRPr="00DD7907" w:rsidRDefault="00DD7907" w:rsidP="00DD7907">
      <w:pPr>
        <w:pStyle w:val="Heading3"/>
      </w:pPr>
      <w:bookmarkStart w:id="84" w:name="_Hlk163035248"/>
      <w:r w:rsidRPr="00DD7907">
        <w:rPr>
          <w:shd w:val="clear" w:color="auto" w:fill="FFFFFF"/>
        </w:rPr>
        <w:t>Statistics Fundamentals for Monte Carlo Simulation</w:t>
      </w:r>
    </w:p>
    <w:p w14:paraId="4DDA9947" w14:textId="546A9929" w:rsidR="00DD7907" w:rsidRDefault="00F6338D" w:rsidP="00DD7907">
      <w:pPr>
        <w:rPr>
          <w:shd w:val="clear" w:color="auto" w:fill="FFFFFF"/>
        </w:rPr>
      </w:pPr>
      <w:r w:rsidRPr="00F6338D">
        <w:rPr>
          <w:shd w:val="clear" w:color="auto" w:fill="FFFFFF"/>
        </w:rPr>
        <w:t>Reviewing some fundamental statistical principles that underlie this method is helpful to understand Monte Carlo Simulation</w:t>
      </w:r>
      <w:r w:rsidR="00DD7907" w:rsidRPr="00DD7907">
        <w:rPr>
          <w:shd w:val="clear" w:color="auto" w:fill="FFFFFF"/>
        </w:rPr>
        <w:t>.</w:t>
      </w:r>
    </w:p>
    <w:p w14:paraId="5C563BBB" w14:textId="071D91E8" w:rsidR="001A5322" w:rsidRPr="001A5322" w:rsidRDefault="001A5322" w:rsidP="001A5322">
      <w:pPr>
        <w:pStyle w:val="Heading4"/>
        <w:rPr>
          <w:shd w:val="clear" w:color="auto" w:fill="FFFFFF"/>
        </w:rPr>
      </w:pPr>
      <w:r w:rsidRPr="001A5322">
        <w:rPr>
          <w:shd w:val="clear" w:color="auto" w:fill="FFFFFF"/>
        </w:rPr>
        <w:t>The Law of Large Numbers</w:t>
      </w:r>
    </w:p>
    <w:p w14:paraId="392C69AF" w14:textId="77777777" w:rsidR="00F6338D" w:rsidRPr="00F6338D" w:rsidRDefault="00F6338D" w:rsidP="00F6338D">
      <w:pPr>
        <w:rPr>
          <w:shd w:val="clear" w:color="auto" w:fill="FFFFFF"/>
        </w:rPr>
      </w:pPr>
      <w:r w:rsidRPr="00F6338D">
        <w:rPr>
          <w:shd w:val="clear" w:color="auto" w:fill="FFFFFF"/>
        </w:rPr>
        <w:t>The Law of Large Numbers, introduced by Jakob Bernoulli in the late 17th century, is a cornerstone of inferential statistics. It states that as the sample size increases, the sample average converges to the theoretical average. For example, flipping a fair coin many times will yield approximately equal numbers of heads and tails.</w:t>
      </w:r>
    </w:p>
    <w:p w14:paraId="77DF3E1B" w14:textId="7FFA5054" w:rsidR="00F6338D" w:rsidRPr="00F6338D" w:rsidRDefault="00F6338D" w:rsidP="00F6338D">
      <w:pPr>
        <w:rPr>
          <w:shd w:val="clear" w:color="auto" w:fill="FFFFFF"/>
        </w:rPr>
      </w:pPr>
      <w:r w:rsidRPr="00F6338D">
        <w:rPr>
          <w:shd w:val="clear" w:color="auto" w:fill="FFFFFF"/>
        </w:rPr>
        <w:t xml:space="preserve">Suppose an analyst records the ratio of heads to tails at various sample sizes, such as 20, </w:t>
      </w:r>
      <w:r>
        <w:rPr>
          <w:shd w:val="clear" w:color="auto" w:fill="FFFFFF"/>
        </w:rPr>
        <w:t>6</w:t>
      </w:r>
      <w:r w:rsidRPr="00F6338D">
        <w:rPr>
          <w:shd w:val="clear" w:color="auto" w:fill="FFFFFF"/>
        </w:rPr>
        <w:t>40,</w:t>
      </w:r>
      <w:r>
        <w:rPr>
          <w:shd w:val="clear" w:color="auto" w:fill="FFFFFF"/>
        </w:rPr>
        <w:t xml:space="preserve"> 2560,</w:t>
      </w:r>
      <w:r w:rsidRPr="00F6338D">
        <w:rPr>
          <w:shd w:val="clear" w:color="auto" w:fill="FFFFFF"/>
        </w:rPr>
        <w:t xml:space="preserve"> etc. </w:t>
      </w:r>
      <w:r>
        <w:rPr>
          <w:shd w:val="clear" w:color="auto" w:fill="FFFFFF"/>
        </w:rPr>
        <w:t xml:space="preserve">The resulting Head vs. Tail ratio is illustrated in </w:t>
      </w:r>
      <w:r>
        <w:rPr>
          <w:shd w:val="clear" w:color="auto" w:fill="FFFFFF"/>
        </w:rPr>
        <w:fldChar w:fldCharType="begin"/>
      </w:r>
      <w:r>
        <w:rPr>
          <w:shd w:val="clear" w:color="auto" w:fill="FFFFFF"/>
        </w:rPr>
        <w:instrText xml:space="preserve"> REF _Ref176683002 \h </w:instrText>
      </w:r>
      <w:r>
        <w:rPr>
          <w:shd w:val="clear" w:color="auto" w:fill="FFFFFF"/>
        </w:rPr>
      </w:r>
      <w:r>
        <w:rPr>
          <w:shd w:val="clear" w:color="auto" w:fill="FFFFFF"/>
        </w:rPr>
        <w:fldChar w:fldCharType="separate"/>
      </w:r>
      <w:r w:rsidR="0074672C" w:rsidRPr="00EE78B1">
        <w:t xml:space="preserve">Figure </w:t>
      </w:r>
      <w:r w:rsidR="0074672C">
        <w:rPr>
          <w:noProof/>
        </w:rPr>
        <w:t>1</w:t>
      </w:r>
      <w:r>
        <w:rPr>
          <w:shd w:val="clear" w:color="auto" w:fill="FFFFFF"/>
        </w:rPr>
        <w:fldChar w:fldCharType="end"/>
      </w:r>
      <w:r>
        <w:rPr>
          <w:shd w:val="clear" w:color="auto" w:fill="FFFFFF"/>
        </w:rPr>
        <w:t xml:space="preserve">. </w:t>
      </w:r>
      <w:r w:rsidRPr="00F6338D">
        <w:rPr>
          <w:shd w:val="clear" w:color="auto" w:fill="FFFFFF"/>
        </w:rPr>
        <w:t xml:space="preserve">Initially, with only 20 flips, the ratio may deviate significantly from the expected 1:1 ratio, as seen in a value of 0.57. As the number of flips increases, these ratios fluctuate, sometimes far from the expected value, like 2.23 at 40 flips. However, the ratio stabilizes with more flips, approaching the expected 1:1 ratio. This example illustrates how larger sample sizes reduce the impact of random variations, leading to a more accurate representation of the </w:t>
      </w:r>
      <w:r>
        <w:rPr>
          <w:shd w:val="clear" w:color="auto" w:fill="FFFFFF"/>
        </w:rPr>
        <w:t>actual</w:t>
      </w:r>
      <w:r w:rsidRPr="00F6338D">
        <w:rPr>
          <w:shd w:val="clear" w:color="auto" w:fill="FFFFFF"/>
        </w:rPr>
        <w:t xml:space="preserve"> probability.</w:t>
      </w:r>
    </w:p>
    <w:p w14:paraId="66DA28E7" w14:textId="4A5E825A" w:rsidR="00F6338D" w:rsidRDefault="00F6338D" w:rsidP="00F6338D">
      <w:pPr>
        <w:rPr>
          <w:shd w:val="clear" w:color="auto" w:fill="FFFFFF"/>
        </w:rPr>
      </w:pPr>
      <w:r w:rsidRPr="00F6338D">
        <w:rPr>
          <w:shd w:val="clear" w:color="auto" w:fill="FFFFFF"/>
        </w:rPr>
        <w:t>This principle underscores the importance of running a large number of simulations in Monte Carlo simulation. As the number of iterations increases, the results converge to a stable estimate, reducing the influence of random variations and providing a clearer picture of potential outcomes.</w:t>
      </w:r>
    </w:p>
    <w:p w14:paraId="59E6349D" w14:textId="2F190724" w:rsidR="00EE78B1" w:rsidRDefault="00232EEE" w:rsidP="00232EEE">
      <w:bookmarkStart w:id="85" w:name="_Ref175755682"/>
      <w:r>
        <w:rPr>
          <w:noProof/>
        </w:rPr>
        <w:lastRenderedPageBreak/>
        <w:drawing>
          <wp:inline distT="0" distB="0" distL="0" distR="0" wp14:anchorId="3EB0EDA6" wp14:editId="0D00EB68">
            <wp:extent cx="5676900" cy="3589867"/>
            <wp:effectExtent l="0" t="0" r="12700" b="17145"/>
            <wp:docPr id="1209263807" name="Chart 1">
              <a:extLst xmlns:a="http://schemas.openxmlformats.org/drawingml/2006/main">
                <a:ext uri="{FF2B5EF4-FFF2-40B4-BE49-F238E27FC236}">
                  <a16:creationId xmlns:a16="http://schemas.microsoft.com/office/drawing/2014/main" id="{1DB78F5B-B28B-5FEB-597A-65249E02C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B91077D" w14:textId="28896617" w:rsidR="00EE78B1" w:rsidRPr="00EE78B1" w:rsidRDefault="00EE78B1" w:rsidP="00EE78B1">
      <w:pPr>
        <w:pStyle w:val="Caption"/>
        <w:jc w:val="center"/>
        <w:rPr>
          <w:sz w:val="22"/>
          <w:szCs w:val="22"/>
          <w:shd w:val="clear" w:color="auto" w:fill="FFFFFF"/>
        </w:rPr>
      </w:pPr>
      <w:bookmarkStart w:id="86" w:name="_Ref176683002"/>
      <w:r w:rsidRPr="00EE78B1">
        <w:rPr>
          <w:sz w:val="22"/>
          <w:szCs w:val="22"/>
        </w:rPr>
        <w:t xml:space="preserve">Figure </w:t>
      </w:r>
      <w:r w:rsidRPr="00EE78B1">
        <w:rPr>
          <w:sz w:val="22"/>
          <w:szCs w:val="22"/>
        </w:rPr>
        <w:fldChar w:fldCharType="begin"/>
      </w:r>
      <w:r w:rsidRPr="00EE78B1">
        <w:rPr>
          <w:sz w:val="22"/>
          <w:szCs w:val="22"/>
        </w:rPr>
        <w:instrText xml:space="preserve"> SEQ Figure \* ARABIC </w:instrText>
      </w:r>
      <w:r w:rsidRPr="00EE78B1">
        <w:rPr>
          <w:sz w:val="22"/>
          <w:szCs w:val="22"/>
        </w:rPr>
        <w:fldChar w:fldCharType="separate"/>
      </w:r>
      <w:r w:rsidR="0074672C">
        <w:rPr>
          <w:noProof/>
          <w:sz w:val="22"/>
          <w:szCs w:val="22"/>
        </w:rPr>
        <w:t>1</w:t>
      </w:r>
      <w:r w:rsidRPr="00EE78B1">
        <w:rPr>
          <w:sz w:val="22"/>
          <w:szCs w:val="22"/>
        </w:rPr>
        <w:fldChar w:fldCharType="end"/>
      </w:r>
      <w:bookmarkEnd w:id="85"/>
      <w:bookmarkEnd w:id="86"/>
      <w:r w:rsidRPr="00EE78B1">
        <w:rPr>
          <w:sz w:val="22"/>
          <w:szCs w:val="22"/>
        </w:rPr>
        <w:t xml:space="preserve"> Law of large number illustration</w:t>
      </w:r>
    </w:p>
    <w:p w14:paraId="55D8FD2F" w14:textId="79E7DA3F" w:rsidR="00EE78B1" w:rsidRDefault="00EE78B1" w:rsidP="00EE78B1">
      <w:pPr>
        <w:rPr>
          <w:shd w:val="clear" w:color="auto" w:fill="FFFFFF"/>
        </w:rPr>
      </w:pPr>
    </w:p>
    <w:p w14:paraId="2B6AEC3C" w14:textId="5DBA1289" w:rsidR="008829DA" w:rsidRDefault="008829DA" w:rsidP="00E10183">
      <w:pPr>
        <w:pStyle w:val="Heading4"/>
        <w:rPr>
          <w:shd w:val="clear" w:color="auto" w:fill="FFFFFF"/>
        </w:rPr>
      </w:pPr>
      <w:r>
        <w:rPr>
          <w:shd w:val="clear" w:color="auto" w:fill="FFFFFF"/>
        </w:rPr>
        <w:t>Statistical Distribution</w:t>
      </w:r>
    </w:p>
    <w:p w14:paraId="340328BD" w14:textId="77777777" w:rsidR="00F6338D" w:rsidRDefault="00F6338D" w:rsidP="00F6338D">
      <w:r>
        <w:t>A statistical distribution of a variable describes how the values of that variable are spread across a range, showing the frequency or probability of each possible value. Key elements include:</w:t>
      </w:r>
    </w:p>
    <w:p w14:paraId="7BE71BD0" w14:textId="6DE39353" w:rsidR="00DD7907" w:rsidRDefault="00F6338D" w:rsidP="00DD7907">
      <w:r w:rsidRPr="00F6338D">
        <w:rPr>
          <w:b/>
          <w:bCs/>
        </w:rPr>
        <w:t>Probability Density</w:t>
      </w:r>
      <w:r>
        <w:t xml:space="preserve">: A function that describes the likelihood of different outcomes within a continuous range. It provides a detailed view of how probabilities are distributed over possible values, enabling more granular analysis. For example, </w:t>
      </w:r>
      <w:r w:rsidRPr="00DD7907">
        <w:t>in a coin toss</w:t>
      </w:r>
      <w:r>
        <w:t xml:space="preserve"> (</w:t>
      </w:r>
      <w:r>
        <w:fldChar w:fldCharType="begin"/>
      </w:r>
      <w:r>
        <w:instrText xml:space="preserve"> REF _Ref175840277 \h </w:instrText>
      </w:r>
      <w:r>
        <w:fldChar w:fldCharType="separate"/>
      </w:r>
      <w:r w:rsidR="0074672C">
        <w:t xml:space="preserve">Figure </w:t>
      </w:r>
      <w:r w:rsidR="0074672C">
        <w:rPr>
          <w:noProof/>
        </w:rPr>
        <w:t>2</w:t>
      </w:r>
      <w:r>
        <w:fldChar w:fldCharType="end"/>
      </w:r>
      <w:r>
        <w:t>), the probability density curve shows the highest probability associated with a 1:1 head-to-tail ratio, decreasing probabilities as the ratio deviates from this central value.</w:t>
      </w:r>
    </w:p>
    <w:p w14:paraId="2431A9AF" w14:textId="77777777" w:rsidR="003119B1" w:rsidRDefault="003119B1" w:rsidP="00DD7907"/>
    <w:p w14:paraId="779745AA" w14:textId="1C0A6FC9" w:rsidR="00442FE7" w:rsidRDefault="00442FE7" w:rsidP="008829DA">
      <w:r>
        <w:rPr>
          <w:noProof/>
        </w:rPr>
        <w:lastRenderedPageBreak/>
        <w:drawing>
          <wp:inline distT="0" distB="0" distL="0" distR="0" wp14:anchorId="576F40FE" wp14:editId="213CDA5B">
            <wp:extent cx="5076156" cy="3063926"/>
            <wp:effectExtent l="0" t="0" r="10795" b="3175"/>
            <wp:docPr id="234956215" name="Chart 1">
              <a:extLst xmlns:a="http://schemas.openxmlformats.org/drawingml/2006/main">
                <a:ext uri="{FF2B5EF4-FFF2-40B4-BE49-F238E27FC236}">
                  <a16:creationId xmlns:a16="http://schemas.microsoft.com/office/drawing/2014/main" id="{1F39C2AE-71B5-4845-BA84-7EF0F3F21D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13CC60" w14:textId="6A4BD429" w:rsidR="00FB060A" w:rsidRDefault="00FB060A" w:rsidP="00FB060A">
      <w:pPr>
        <w:pStyle w:val="Caption"/>
        <w:jc w:val="center"/>
      </w:pPr>
      <w:bookmarkStart w:id="87" w:name="_Ref175840277"/>
      <w:r>
        <w:t xml:space="preserve">Figure </w:t>
      </w:r>
      <w:fldSimple w:instr=" SEQ Figure \* ARABIC ">
        <w:r w:rsidR="0074672C">
          <w:rPr>
            <w:noProof/>
          </w:rPr>
          <w:t>2</w:t>
        </w:r>
      </w:fldSimple>
      <w:bookmarkEnd w:id="87"/>
      <w:r>
        <w:t xml:space="preserve"> Distribution of H/T ratio</w:t>
      </w:r>
    </w:p>
    <w:p w14:paraId="06DB6079" w14:textId="77777777" w:rsidR="00252D1A" w:rsidRDefault="00252D1A" w:rsidP="00442FE7"/>
    <w:p w14:paraId="1679B759" w14:textId="6A6709C5" w:rsidR="004343FD" w:rsidRDefault="004343FD" w:rsidP="004343FD">
      <w:r w:rsidRPr="004343FD">
        <w:rPr>
          <w:b/>
          <w:bCs/>
        </w:rPr>
        <w:t>Mean</w:t>
      </w:r>
      <w:r>
        <w:t xml:space="preserve">: The average or typical outcome within a dataset. In the simulation context, the Mean provides a baseline expectation for the analyzed variable. For example, the Mean value of head-to-tail ratio is 1 in the coin toss. </w:t>
      </w:r>
    </w:p>
    <w:p w14:paraId="567B9AFC" w14:textId="77777777" w:rsidR="004343FD" w:rsidRDefault="004343FD" w:rsidP="004343FD">
      <w:r w:rsidRPr="004343FD">
        <w:rPr>
          <w:b/>
          <w:bCs/>
        </w:rPr>
        <w:t>Standard deviation</w:t>
      </w:r>
      <w:r>
        <w:t xml:space="preserve">: A measure of variability or dispersion within a dataset. It indicates how spread out the outcomes are around the Mean. A high standard deviation suggests significant variability in the simulated results, implying higher uncertainty. Conversely, a low standard deviation indicates that the outcomes are closely clustered around the Mean, reflecting more predictable performance. The standard deviation, for example, is 0.202. </w:t>
      </w:r>
    </w:p>
    <w:p w14:paraId="06768B4F" w14:textId="03B12582" w:rsidR="00252D1A" w:rsidRDefault="004343FD" w:rsidP="004343FD">
      <w:r w:rsidRPr="004343FD">
        <w:rPr>
          <w:b/>
          <w:bCs/>
        </w:rPr>
        <w:t>Cumulative distribution</w:t>
      </w:r>
      <w:r>
        <w:t>: Derived from the probability density, the cumulative distribution represents the probability that a random variable will take a value less than or equal to a specific threshold. This function helps understand the likelihood of achieving or falling short of a target range. For example, the cumulative distribution of the head-to-tail ratio being less than 1 is 50% (</w:t>
      </w:r>
      <w:r>
        <w:fldChar w:fldCharType="begin"/>
      </w:r>
      <w:r>
        <w:instrText xml:space="preserve"> REF _Ref176683251 \h </w:instrText>
      </w:r>
      <w:r>
        <w:fldChar w:fldCharType="separate"/>
      </w:r>
      <w:r w:rsidR="0074672C">
        <w:t xml:space="preserve">Figure </w:t>
      </w:r>
      <w:r w:rsidR="0074672C">
        <w:rPr>
          <w:noProof/>
        </w:rPr>
        <w:t>3</w:t>
      </w:r>
      <w:r>
        <w:fldChar w:fldCharType="end"/>
      </w:r>
      <w:r>
        <w:t>).</w:t>
      </w:r>
    </w:p>
    <w:p w14:paraId="246FB110" w14:textId="21C8DD23" w:rsidR="00252D1A" w:rsidRDefault="00252D1A" w:rsidP="00252D1A">
      <w:r>
        <w:rPr>
          <w:noProof/>
        </w:rPr>
        <w:lastRenderedPageBreak/>
        <w:drawing>
          <wp:inline distT="0" distB="0" distL="0" distR="0" wp14:anchorId="31D84D2D" wp14:editId="50A49772">
            <wp:extent cx="5511114" cy="3321496"/>
            <wp:effectExtent l="0" t="0" r="13970" b="12700"/>
            <wp:docPr id="1077380958" name="Chart 1">
              <a:extLst xmlns:a="http://schemas.openxmlformats.org/drawingml/2006/main">
                <a:ext uri="{FF2B5EF4-FFF2-40B4-BE49-F238E27FC236}">
                  <a16:creationId xmlns:a16="http://schemas.microsoft.com/office/drawing/2014/main" id="{340615CA-3F68-4134-B097-7349A51B4E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A1061A0" w14:textId="2DB9FF70" w:rsidR="00252D1A" w:rsidRDefault="00252D1A" w:rsidP="00252D1A">
      <w:pPr>
        <w:pStyle w:val="Caption"/>
        <w:jc w:val="center"/>
      </w:pPr>
      <w:bookmarkStart w:id="88" w:name="_Ref176683251"/>
      <w:r>
        <w:t xml:space="preserve">Figure </w:t>
      </w:r>
      <w:fldSimple w:instr=" SEQ Figure \* ARABIC ">
        <w:r w:rsidR="0074672C">
          <w:rPr>
            <w:noProof/>
          </w:rPr>
          <w:t>3</w:t>
        </w:r>
      </w:fldSimple>
      <w:bookmarkEnd w:id="88"/>
      <w:r>
        <w:t xml:space="preserve"> Cumulative distribution of H/T ratio</w:t>
      </w:r>
    </w:p>
    <w:p w14:paraId="298A0943" w14:textId="77777777" w:rsidR="003119B1" w:rsidRDefault="003119B1" w:rsidP="003119B1"/>
    <w:p w14:paraId="760EA575" w14:textId="07053236" w:rsidR="003119B1" w:rsidRDefault="003119B1" w:rsidP="003119B1">
      <w:r w:rsidRPr="004343FD">
        <w:rPr>
          <w:b/>
          <w:bCs/>
        </w:rPr>
        <w:t>Norm distribution</w:t>
      </w:r>
      <w:r>
        <w:t xml:space="preserve">: </w:t>
      </w:r>
      <w:r w:rsidR="004343FD" w:rsidRPr="004343FD">
        <w:t>A continuous probability distribution that is symmetric around its Mean. It follows the bell-shaped curve and can be characterized by two parameters: the Mean, which determines the center of the peak, and the standard deviation, which indicates the spread or width of the distribution. Many natural phenomena and statistical processes approximate or follow a normal distribution, making it a fundamental concept in statistics and probability theory.</w:t>
      </w:r>
    </w:p>
    <w:p w14:paraId="41AC1591" w14:textId="4B663779" w:rsidR="001A5322" w:rsidRPr="001A5322" w:rsidRDefault="001A5322" w:rsidP="00E10183">
      <w:pPr>
        <w:pStyle w:val="Heading4"/>
        <w:rPr>
          <w:shd w:val="clear" w:color="auto" w:fill="FFFFFF"/>
        </w:rPr>
      </w:pPr>
      <w:r w:rsidRPr="001A5322">
        <w:rPr>
          <w:shd w:val="clear" w:color="auto" w:fill="FFFFFF"/>
        </w:rPr>
        <w:t>Confidence Intervals</w:t>
      </w:r>
    </w:p>
    <w:p w14:paraId="4B931421" w14:textId="77777777" w:rsidR="004343FD" w:rsidRPr="004343FD" w:rsidRDefault="004343FD" w:rsidP="004343FD">
      <w:pPr>
        <w:rPr>
          <w:shd w:val="clear" w:color="auto" w:fill="FFFFFF"/>
        </w:rPr>
      </w:pPr>
      <w:r w:rsidRPr="004343FD">
        <w:rPr>
          <w:shd w:val="clear" w:color="auto" w:fill="FFFFFF"/>
        </w:rPr>
        <w:t>A confidence interval provides a range within which a parameter is likely to fall with a specified confidence level. Rather than offering a single estimate, it presents a range expected to contain the true value.</w:t>
      </w:r>
    </w:p>
    <w:p w14:paraId="647808A2" w14:textId="77777777" w:rsidR="004343FD" w:rsidRPr="004343FD" w:rsidRDefault="004343FD" w:rsidP="004343FD">
      <w:pPr>
        <w:rPr>
          <w:shd w:val="clear" w:color="auto" w:fill="FFFFFF"/>
        </w:rPr>
      </w:pPr>
      <w:r w:rsidRPr="004343FD">
        <w:rPr>
          <w:shd w:val="clear" w:color="auto" w:fill="FFFFFF"/>
        </w:rPr>
        <w:t xml:space="preserve">For instance, suppose an individual flips a fair coin 100 times and wants to estimate the ratio of heads to tails with 80% confidence. After conducting the flips, the person observes that the ratio of heads to tails </w:t>
      </w:r>
      <w:r w:rsidRPr="004343FD">
        <w:rPr>
          <w:shd w:val="clear" w:color="auto" w:fill="FFFFFF"/>
        </w:rPr>
        <w:lastRenderedPageBreak/>
        <w:t>falls within a specific range. Suppose the 80% confidence interval for the ratio is between 0.85 and 1.15. In that case, the individual can be 80% confident that the actual ratio lies within this interval when performing 100 flips. This range offers a more comprehensive estimate than a single value, providing a clearer understanding of the underlying probability distribution and helping the individual make more informed predictions about future flips.</w:t>
      </w:r>
    </w:p>
    <w:p w14:paraId="71635577" w14:textId="748CC8D2" w:rsidR="00A27139" w:rsidRDefault="004343FD" w:rsidP="004343FD">
      <w:pPr>
        <w:rPr>
          <w:shd w:val="clear" w:color="auto" w:fill="FFFFFF"/>
        </w:rPr>
      </w:pPr>
      <w:r w:rsidRPr="004343FD">
        <w:rPr>
          <w:shd w:val="clear" w:color="auto" w:fill="FFFFFF"/>
        </w:rPr>
        <w:t>In Monte Carlo Simulation, confidence intervals similarly allow decision-makers to assess risks and benefits with specific confidence levels, offering insights into the range of potential outcomes and their associated uncertainties.</w:t>
      </w:r>
    </w:p>
    <w:p w14:paraId="3A0CE02B" w14:textId="2375F138" w:rsidR="001A5322" w:rsidRPr="001A5322" w:rsidRDefault="001A5322" w:rsidP="00642E97">
      <w:pPr>
        <w:pStyle w:val="Heading4"/>
        <w:rPr>
          <w:shd w:val="clear" w:color="auto" w:fill="FFFFFF"/>
        </w:rPr>
      </w:pPr>
      <w:r w:rsidRPr="001A5322">
        <w:rPr>
          <w:shd w:val="clear" w:color="auto" w:fill="FFFFFF"/>
        </w:rPr>
        <w:t>The Empirical Rule for Confidence Intervals</w:t>
      </w:r>
    </w:p>
    <w:p w14:paraId="7D5B4DA8" w14:textId="77777777" w:rsidR="004343FD" w:rsidRPr="004343FD" w:rsidRDefault="004343FD" w:rsidP="004343FD">
      <w:pPr>
        <w:rPr>
          <w:shd w:val="clear" w:color="auto" w:fill="FFFFFF"/>
        </w:rPr>
      </w:pPr>
      <w:r w:rsidRPr="004343FD">
        <w:rPr>
          <w:shd w:val="clear" w:color="auto" w:fill="FFFFFF"/>
        </w:rPr>
        <w:t>The empirical rule describes data distribution around the Mean in a normal curve:</w:t>
      </w:r>
    </w:p>
    <w:p w14:paraId="32BF24BC" w14:textId="77777777" w:rsidR="004343FD" w:rsidRPr="004343FD" w:rsidRDefault="004343FD" w:rsidP="00D81274">
      <w:pPr>
        <w:pStyle w:val="ListParagraph"/>
        <w:numPr>
          <w:ilvl w:val="0"/>
          <w:numId w:val="36"/>
        </w:numPr>
        <w:rPr>
          <w:shd w:val="clear" w:color="auto" w:fill="FFFFFF"/>
        </w:rPr>
      </w:pPr>
      <w:r w:rsidRPr="004343FD">
        <w:rPr>
          <w:shd w:val="clear" w:color="auto" w:fill="FFFFFF"/>
        </w:rPr>
        <w:t>68% Interval: About 68% of outcomes lie within one standard deviation of the Mean. For a head-to-tail ratio of 1 with a standard deviation of 0.202, this interval is (0.798, 1.202).</w:t>
      </w:r>
    </w:p>
    <w:p w14:paraId="69F12021" w14:textId="77777777" w:rsidR="004343FD" w:rsidRPr="004343FD" w:rsidRDefault="004343FD" w:rsidP="00D81274">
      <w:pPr>
        <w:pStyle w:val="ListParagraph"/>
        <w:numPr>
          <w:ilvl w:val="0"/>
          <w:numId w:val="36"/>
        </w:numPr>
        <w:rPr>
          <w:shd w:val="clear" w:color="auto" w:fill="FFFFFF"/>
        </w:rPr>
      </w:pPr>
      <w:r w:rsidRPr="004343FD">
        <w:rPr>
          <w:shd w:val="clear" w:color="auto" w:fill="FFFFFF"/>
        </w:rPr>
        <w:t>95% Interval: About 95% of outcomes lie within two standard deviations. This interval is (0.596, 1.404).</w:t>
      </w:r>
    </w:p>
    <w:p w14:paraId="626A780A" w14:textId="77777777" w:rsidR="004343FD" w:rsidRPr="004343FD" w:rsidRDefault="004343FD" w:rsidP="00D81274">
      <w:pPr>
        <w:pStyle w:val="ListParagraph"/>
        <w:numPr>
          <w:ilvl w:val="0"/>
          <w:numId w:val="36"/>
        </w:numPr>
        <w:rPr>
          <w:shd w:val="clear" w:color="auto" w:fill="FFFFFF"/>
        </w:rPr>
      </w:pPr>
      <w:r w:rsidRPr="004343FD">
        <w:rPr>
          <w:shd w:val="clear" w:color="auto" w:fill="FFFFFF"/>
        </w:rPr>
        <w:t>99.7% Interval: About 99.7% of outcomes lie within three standard deviations. This interval is (0.394, 1.606).</w:t>
      </w:r>
    </w:p>
    <w:p w14:paraId="3C575161" w14:textId="4CE1704E" w:rsidR="003060CE" w:rsidRDefault="004343FD" w:rsidP="003060CE">
      <w:pPr>
        <w:rPr>
          <w:shd w:val="clear" w:color="auto" w:fill="FFFFFF"/>
        </w:rPr>
      </w:pPr>
      <w:r w:rsidRPr="004343FD">
        <w:rPr>
          <w:shd w:val="clear" w:color="auto" w:fill="FFFFFF"/>
        </w:rPr>
        <w:t>Understanding these intervals aids in interpreting Monte Carlo Simulation results and assessing the potential impact of outliers.</w:t>
      </w:r>
    </w:p>
    <w:p w14:paraId="1E199EC0" w14:textId="27018E3B" w:rsidR="001A5322" w:rsidRPr="001A5322" w:rsidRDefault="00232EEE" w:rsidP="001A5322">
      <w:pPr>
        <w:rPr>
          <w:shd w:val="clear" w:color="auto" w:fill="FFFFFF"/>
        </w:rPr>
      </w:pPr>
      <w:r>
        <w:rPr>
          <w:noProof/>
          <w:shd w:val="clear" w:color="auto" w:fill="FFFFFF"/>
        </w:rPr>
        <w:lastRenderedPageBreak/>
        <w:drawing>
          <wp:inline distT="0" distB="0" distL="0" distR="0" wp14:anchorId="7BE7BF72" wp14:editId="1F1EA52F">
            <wp:extent cx="4882243" cy="3241023"/>
            <wp:effectExtent l="0" t="0" r="0" b="0"/>
            <wp:docPr id="19921651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139" cy="3245601"/>
                    </a:xfrm>
                    <a:prstGeom prst="rect">
                      <a:avLst/>
                    </a:prstGeom>
                    <a:noFill/>
                  </pic:spPr>
                </pic:pic>
              </a:graphicData>
            </a:graphic>
          </wp:inline>
        </w:drawing>
      </w:r>
    </w:p>
    <w:p w14:paraId="2AE80441" w14:textId="7C648BF5" w:rsidR="00232EEE" w:rsidRDefault="003060CE" w:rsidP="003060CE">
      <w:pPr>
        <w:pStyle w:val="Caption"/>
        <w:jc w:val="center"/>
      </w:pPr>
      <w:r>
        <w:t xml:space="preserve">Figure </w:t>
      </w:r>
      <w:fldSimple w:instr=" SEQ Figure \* ARABIC ">
        <w:r w:rsidR="0074672C">
          <w:rPr>
            <w:noProof/>
          </w:rPr>
          <w:t>4</w:t>
        </w:r>
      </w:fldSimple>
      <w:r>
        <w:t xml:space="preserve"> Empirical Rule of Normal Distribution</w:t>
      </w:r>
    </w:p>
    <w:p w14:paraId="68B3CF46" w14:textId="77777777" w:rsidR="003060CE" w:rsidRPr="003060CE" w:rsidRDefault="003060CE" w:rsidP="003060CE"/>
    <w:p w14:paraId="3B08C0EC" w14:textId="1DD02C20" w:rsidR="003119B1" w:rsidRPr="003119B1" w:rsidRDefault="003119B1" w:rsidP="003119B1">
      <w:pPr>
        <w:pStyle w:val="Heading4"/>
        <w:rPr>
          <w:shd w:val="clear" w:color="auto" w:fill="FFFFFF"/>
        </w:rPr>
      </w:pPr>
      <w:bookmarkStart w:id="89" w:name="_Hlk163036045"/>
      <w:bookmarkEnd w:id="84"/>
      <w:r>
        <w:rPr>
          <w:shd w:val="clear" w:color="auto" w:fill="FFFFFF"/>
        </w:rPr>
        <w:t>Triangle</w:t>
      </w:r>
      <w:r w:rsidRPr="003119B1">
        <w:rPr>
          <w:shd w:val="clear" w:color="auto" w:fill="FFFFFF"/>
        </w:rPr>
        <w:t xml:space="preserve"> Distribution</w:t>
      </w:r>
    </w:p>
    <w:p w14:paraId="5781BE4B" w14:textId="3EF37B5B" w:rsidR="003060CE" w:rsidRDefault="004343FD" w:rsidP="003119B1">
      <w:pPr>
        <w:rPr>
          <w:shd w:val="clear" w:color="auto" w:fill="FFFFFF"/>
        </w:rPr>
      </w:pPr>
      <w:r w:rsidRPr="004343FD">
        <w:rPr>
          <w:shd w:val="clear" w:color="auto" w:fill="FFFFFF"/>
        </w:rPr>
        <w:t>The triangle distribution is characterized by three points: minimum, most likely, and maximum values, forming a triangular shape. It provides a straightforward method to simulate variability when data is scarce or focuses on the most probable outcomes, effectively representing uncertainty</w:t>
      </w:r>
      <w:r w:rsidR="003060CE" w:rsidRPr="003060CE">
        <w:rPr>
          <w:shd w:val="clear" w:color="auto" w:fill="FFFFFF"/>
        </w:rPr>
        <w:t>.</w:t>
      </w:r>
    </w:p>
    <w:p w14:paraId="72E998D4" w14:textId="3D4D3F4A" w:rsidR="00C21DBE" w:rsidRDefault="00C21DBE" w:rsidP="003119B1">
      <w:pPr>
        <w:rPr>
          <w:shd w:val="clear" w:color="auto" w:fill="FFFFFF"/>
        </w:rPr>
      </w:pPr>
      <w:r>
        <w:rPr>
          <w:noProof/>
        </w:rPr>
        <w:drawing>
          <wp:inline distT="0" distB="0" distL="0" distR="0" wp14:anchorId="3290E933" wp14:editId="15744EE2">
            <wp:extent cx="5149901" cy="2118496"/>
            <wp:effectExtent l="0" t="0" r="0" b="0"/>
            <wp:docPr id="394418326" name="Picture 7"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8326" name="Picture 7"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3829" cy="2124225"/>
                    </a:xfrm>
                    <a:prstGeom prst="rect">
                      <a:avLst/>
                    </a:prstGeom>
                    <a:noFill/>
                  </pic:spPr>
                </pic:pic>
              </a:graphicData>
            </a:graphic>
          </wp:inline>
        </w:drawing>
      </w:r>
    </w:p>
    <w:p w14:paraId="3AB7B903" w14:textId="77777777" w:rsidR="00C21DBE" w:rsidRDefault="00C21DBE" w:rsidP="003119B1">
      <w:pPr>
        <w:rPr>
          <w:shd w:val="clear" w:color="auto" w:fill="FFFFFF"/>
        </w:rPr>
      </w:pPr>
    </w:p>
    <w:p w14:paraId="3D4F7EBC" w14:textId="2ED4DC10" w:rsidR="00DC3B82" w:rsidRDefault="00661A9A" w:rsidP="00DC3B82">
      <w:pPr>
        <w:pStyle w:val="Heading2"/>
      </w:pPr>
      <w:bookmarkStart w:id="90" w:name="_Toc191026947"/>
      <w:bookmarkStart w:id="91" w:name="_Hlk170458851"/>
      <w:r>
        <w:lastRenderedPageBreak/>
        <w:t>Leverag</w:t>
      </w:r>
      <w:r w:rsidR="004343FD">
        <w:t xml:space="preserve">e </w:t>
      </w:r>
      <w:r w:rsidR="00DC3B82">
        <w:t xml:space="preserve">Simulation </w:t>
      </w:r>
      <w:r w:rsidR="009557C4">
        <w:t>for</w:t>
      </w:r>
      <w:r w:rsidR="00DC3B82">
        <w:t xml:space="preserve"> Enhance</w:t>
      </w:r>
      <w:r w:rsidR="009557C4">
        <w:t>d</w:t>
      </w:r>
      <w:r w:rsidR="00DC3B82">
        <w:t xml:space="preserve"> Decision-Making</w:t>
      </w:r>
      <w:bookmarkEnd w:id="90"/>
    </w:p>
    <w:p w14:paraId="0B315114" w14:textId="223A547E" w:rsidR="003060CE" w:rsidRDefault="004343FD" w:rsidP="00661A9A">
      <w:pPr>
        <w:rPr>
          <w:shd w:val="clear" w:color="auto" w:fill="FFFFFF"/>
        </w:rPr>
      </w:pPr>
      <w:r w:rsidRPr="004343FD">
        <w:rPr>
          <w:shd w:val="clear" w:color="auto" w:fill="FFFFFF"/>
        </w:rPr>
        <w:t>Monte Carlo Simulation generates numerous random samples for uncertain input variables and decision options, allowing businesses to estimate outcome probabilities in complex models with greater precision. The results are often presented as confidence intervals around the Mean, providing a comprehensive view of possible outcomes and their probabilities</w:t>
      </w:r>
      <w:r w:rsidR="003060CE" w:rsidRPr="003060CE">
        <w:rPr>
          <w:shd w:val="clear" w:color="auto" w:fill="FFFFFF"/>
        </w:rPr>
        <w:t>.</w:t>
      </w:r>
    </w:p>
    <w:p w14:paraId="7FA7D362" w14:textId="5E973759" w:rsidR="00A05BC3" w:rsidRDefault="00A05BC3" w:rsidP="005F5CDA">
      <w:pPr>
        <w:pStyle w:val="Heading3"/>
      </w:pPr>
      <w:bookmarkStart w:id="92" w:name="_Hlk170593796"/>
      <w:bookmarkEnd w:id="91"/>
      <w:r>
        <w:t>Step-by-Step Guide to Apply Monte Carlo Simulation in Business Decision-Making</w:t>
      </w:r>
    </w:p>
    <w:p w14:paraId="646545CB" w14:textId="613F504F" w:rsidR="00A05BC3" w:rsidRDefault="00A05BC3" w:rsidP="00A05BC3">
      <w:r>
        <w:t xml:space="preserve">Monte Carlo simulation enhances decision-making by statistically exploring uncertainty in business situations through </w:t>
      </w:r>
      <w:r w:rsidR="000B1D74">
        <w:t>two</w:t>
      </w:r>
      <w:r w:rsidR="004343FD">
        <w:t xml:space="preserve"> </w:t>
      </w:r>
      <w:r>
        <w:t>steps.</w:t>
      </w:r>
    </w:p>
    <w:p w14:paraId="74ED88C9" w14:textId="4CD4D9B7" w:rsidR="004343FD" w:rsidRPr="004343FD" w:rsidRDefault="004343FD" w:rsidP="00A05BC3">
      <w:pPr>
        <w:rPr>
          <w:b/>
          <w:bCs/>
        </w:rPr>
      </w:pPr>
      <w:r w:rsidRPr="004343FD">
        <w:rPr>
          <w:b/>
          <w:bCs/>
        </w:rPr>
        <w:t>Construct a Simulation Model</w:t>
      </w:r>
    </w:p>
    <w:p w14:paraId="053611D1" w14:textId="77777777" w:rsidR="004343FD" w:rsidRDefault="004343FD" w:rsidP="004343FD">
      <w:r>
        <w:t xml:space="preserve">The process begins with creating a foundational economic model that defines the quantitative relationships between key variables, such as product demand, and business outcomes, such as profit. This model serves as the framework for the simulation, much like scenario analysis. </w:t>
      </w:r>
    </w:p>
    <w:p w14:paraId="06561F99" w14:textId="77777777" w:rsidR="004343FD" w:rsidRDefault="004343FD" w:rsidP="004343FD">
      <w:r>
        <w:t>After identifying the model's key input variables, the next phase involves gathering and analyzing comprehensive data to define their statistical distributions. This data should reflect real-world conditions and may come from historical sales records, market research, industry benchmarks, and economic forecasts.</w:t>
      </w:r>
    </w:p>
    <w:p w14:paraId="4B39840E" w14:textId="3106EB8D" w:rsidR="004343FD" w:rsidRDefault="004343FD" w:rsidP="004343FD">
      <w:r>
        <w:t>Once the economic model and data are in place, the next step is constructing the simulation using advanced software tools for complex statistical calculations and scenario generation. The modeling step involves coding the economic relationships into the simulation framework and setting up the model to run numerous trials. Each trial simulates a different market condition, allowing analysts to explore various potential outcomes.</w:t>
      </w:r>
    </w:p>
    <w:p w14:paraId="4AC904ED" w14:textId="264D1316" w:rsidR="004343FD" w:rsidRPr="004343FD" w:rsidRDefault="004343FD" w:rsidP="004343FD">
      <w:pPr>
        <w:rPr>
          <w:b/>
          <w:bCs/>
        </w:rPr>
      </w:pPr>
      <w:r w:rsidRPr="004343FD">
        <w:rPr>
          <w:b/>
          <w:bCs/>
        </w:rPr>
        <w:t xml:space="preserve">Interpret Simulation Results </w:t>
      </w:r>
    </w:p>
    <w:p w14:paraId="1CCED071" w14:textId="77777777" w:rsidR="004343FD" w:rsidRDefault="004343FD" w:rsidP="004343FD">
      <w:r>
        <w:lastRenderedPageBreak/>
        <w:t xml:space="preserve">Interpreting simulation results involves analyzing and visualizing the output to extract actionable insights. For example, </w:t>
      </w:r>
    </w:p>
    <w:p w14:paraId="451F3872" w14:textId="77777777" w:rsidR="004343FD" w:rsidRDefault="004343FD" w:rsidP="00D81274">
      <w:pPr>
        <w:pStyle w:val="ListParagraph"/>
        <w:numPr>
          <w:ilvl w:val="0"/>
          <w:numId w:val="37"/>
        </w:numPr>
      </w:pPr>
      <w:r>
        <w:t>Data Visualization: Use histograms and frequency distribution charts to illustrate outcome variability. Visual tools help in understanding the range and distribution of results.</w:t>
      </w:r>
    </w:p>
    <w:p w14:paraId="59C54C7F" w14:textId="77777777" w:rsidR="004343FD" w:rsidRDefault="004343FD" w:rsidP="00D81274">
      <w:pPr>
        <w:pStyle w:val="ListParagraph"/>
        <w:numPr>
          <w:ilvl w:val="0"/>
          <w:numId w:val="37"/>
        </w:numPr>
      </w:pPr>
      <w:r>
        <w:t>Statistical Analysis: Calculate key metrics such as mean, median, standard deviation, and probability distributions. These metrics offer a clear view of expected outcomes and their variability.</w:t>
      </w:r>
    </w:p>
    <w:p w14:paraId="0114913D" w14:textId="77777777" w:rsidR="004343FD" w:rsidRDefault="004343FD" w:rsidP="00D81274">
      <w:pPr>
        <w:pStyle w:val="ListParagraph"/>
        <w:numPr>
          <w:ilvl w:val="0"/>
          <w:numId w:val="37"/>
        </w:numPr>
      </w:pPr>
      <w:r>
        <w:t>Sensitivity Analysis: Evaluate how changes in input variables affect outcomes. The sensitivity analysis helps identify which factors significantly impact the results, guiding focus on critical variables.</w:t>
      </w:r>
    </w:p>
    <w:p w14:paraId="0D147042" w14:textId="77777777" w:rsidR="004343FD" w:rsidRDefault="004343FD" w:rsidP="00D81274">
      <w:pPr>
        <w:pStyle w:val="ListParagraph"/>
        <w:numPr>
          <w:ilvl w:val="0"/>
          <w:numId w:val="37"/>
        </w:numPr>
      </w:pPr>
      <w:r>
        <w:t>Risk Assessment: Determine the probability of achieving specific performance targets and the risk of adverse outcomes. This assessment supports understanding the potential for both gains and losses.</w:t>
      </w:r>
    </w:p>
    <w:p w14:paraId="64235610" w14:textId="084EC48C" w:rsidR="004343FD" w:rsidRDefault="004343FD" w:rsidP="00D81274">
      <w:pPr>
        <w:pStyle w:val="ListParagraph"/>
        <w:numPr>
          <w:ilvl w:val="0"/>
          <w:numId w:val="37"/>
        </w:numPr>
      </w:pPr>
      <w:r>
        <w:t>Decision Support Evaluation: Translate findings into strategic recommendations. Use insights to guide decisions and risk management strategies based on a comprehensive understanding of potential outcomes.</w:t>
      </w:r>
    </w:p>
    <w:p w14:paraId="51F90462" w14:textId="3AA99119" w:rsidR="004343FD" w:rsidRDefault="004343FD" w:rsidP="004343FD">
      <w:r>
        <w:t>This approach ensures that decision-makers can effectively interpret simulation results and make informed decisions based on a thorough analysis of risks and opportunities.</w:t>
      </w:r>
    </w:p>
    <w:bookmarkEnd w:id="92"/>
    <w:p w14:paraId="3824B317" w14:textId="209E618B" w:rsidR="00AB17D6" w:rsidRDefault="00AB17D6" w:rsidP="005A4F1F">
      <w:pPr>
        <w:pStyle w:val="Heading3"/>
      </w:pPr>
      <w:r>
        <w:t xml:space="preserve">Simulation </w:t>
      </w:r>
      <w:r w:rsidR="00141DA0">
        <w:t>Software</w:t>
      </w:r>
      <w:r>
        <w:t xml:space="preserve"> </w:t>
      </w:r>
    </w:p>
    <w:p w14:paraId="5E6E9A5F" w14:textId="77777777" w:rsidR="004343FD" w:rsidRDefault="004343FD" w:rsidP="004343FD">
      <w:bookmarkStart w:id="93" w:name="_Hlk170472201"/>
      <w:r>
        <w:t xml:space="preserve">Commercial software is available to help build simulation models and interpret simulation results. Advanced programs like </w:t>
      </w:r>
      <w:proofErr w:type="spellStart"/>
      <w:r>
        <w:t>AnyLogic</w:t>
      </w:r>
      <w:proofErr w:type="spellEnd"/>
      <w:r>
        <w:t xml:space="preserve">, Arena, and Simul8 offer robust capabilities for modeling complex systems. For example, </w:t>
      </w:r>
      <w:proofErr w:type="spellStart"/>
      <w:r>
        <w:t>AnyLogic</w:t>
      </w:r>
      <w:proofErr w:type="spellEnd"/>
      <w:r>
        <w:t xml:space="preserve"> utilizes Monte Carlo methods to explore various outcomes and assess risks across different scenarios. Arena applies Monte Carlo simulation to analyze process variability and </w:t>
      </w:r>
      <w:r>
        <w:lastRenderedPageBreak/>
        <w:t>enhance system performance. Simul8 uses Monte Carlo techniques to evaluate uncertainties and improve decision-making in operations management. These tools are valuable for understanding complex systems by modeling uncertainty and variability.</w:t>
      </w:r>
    </w:p>
    <w:p w14:paraId="542518AF" w14:textId="77777777" w:rsidR="004343FD" w:rsidRDefault="004343FD" w:rsidP="004343FD">
      <w:r>
        <w:t>Microsoft Excel add-ins such as Analytic Solver, @RISK, and Crystal Ball are popular for their integration with Excel. These add-ins provide intuitive interfaces and powerful reporting tools, facilitating data visualization and enhancing decision-making processes.</w:t>
      </w:r>
    </w:p>
    <w:p w14:paraId="21674D82" w14:textId="0623BC9F" w:rsidR="00F72913" w:rsidRDefault="004343FD" w:rsidP="004343FD">
      <w:r>
        <w:t>Choosing the right simulation tool should align with a company's needs, including scope of use and IT capabilities. In this chapter's case studies, Analytic Solver is used for its seamless integration with Excel, allowing the focus to remain on simulation methodologies and their business implications</w:t>
      </w:r>
      <w:r w:rsidR="00F72913" w:rsidRPr="00F72913">
        <w:t>.</w:t>
      </w:r>
    </w:p>
    <w:p w14:paraId="70F3E130" w14:textId="4DEC0185" w:rsidR="0022592F" w:rsidRDefault="0022592F" w:rsidP="0022592F">
      <w:pPr>
        <w:pStyle w:val="Heading3"/>
      </w:pPr>
      <w:r>
        <w:t xml:space="preserve">Case Study: Enhance Decision-Making with Simulation </w:t>
      </w:r>
    </w:p>
    <w:p w14:paraId="5712CF52" w14:textId="34A41AD9" w:rsidR="0022592F" w:rsidRDefault="0022592F" w:rsidP="0022592F">
      <w:r w:rsidRPr="0022592F">
        <w:rPr>
          <w:b/>
          <w:bCs/>
        </w:rPr>
        <w:t>Context:</w:t>
      </w:r>
      <w:r>
        <w:t xml:space="preserve"> This case study builds on the previous scenario analysis, exploring how simulation can guide capital investment decisions amid uncertain market conditions. The scenario involves a conservative manufacturing firm's COO deciding on machinery and labor investments for the upcoming year, influenced by anticipated market dynamics.</w:t>
      </w:r>
    </w:p>
    <w:p w14:paraId="07A85163" w14:textId="5ECB22E0" w:rsidR="0022592F" w:rsidRPr="0022592F" w:rsidRDefault="0022592F" w:rsidP="0022592F">
      <w:pPr>
        <w:rPr>
          <w:b/>
          <w:bCs/>
        </w:rPr>
      </w:pPr>
      <w:r w:rsidRPr="0022592F">
        <w:rPr>
          <w:b/>
          <w:bCs/>
        </w:rPr>
        <w:t xml:space="preserve">Simulation </w:t>
      </w:r>
      <w:r>
        <w:rPr>
          <w:b/>
          <w:bCs/>
        </w:rPr>
        <w:t>M</w:t>
      </w:r>
      <w:r w:rsidRPr="0022592F">
        <w:rPr>
          <w:b/>
          <w:bCs/>
        </w:rPr>
        <w:t xml:space="preserve">odel </w:t>
      </w:r>
      <w:r>
        <w:rPr>
          <w:b/>
          <w:bCs/>
        </w:rPr>
        <w:t>C</w:t>
      </w:r>
      <w:r w:rsidRPr="0022592F">
        <w:rPr>
          <w:b/>
          <w:bCs/>
        </w:rPr>
        <w:t>onstruction</w:t>
      </w:r>
    </w:p>
    <w:p w14:paraId="5F46F936" w14:textId="77777777" w:rsidR="0022592F" w:rsidRDefault="0022592F" w:rsidP="0022592F">
      <w:r>
        <w:t>The simulation uses an economic model similar to the one used in scenario analysis to estimate profit and return on investment (ROI). Key variables include sales, unit price, materials, and fixed costs. These variables are assigned statistical distributions to simulate uncertainty.</w:t>
      </w:r>
    </w:p>
    <w:p w14:paraId="58A79AB5" w14:textId="14AC55AF" w:rsidR="004343FD" w:rsidRDefault="0022592F" w:rsidP="0022592F">
      <w:r>
        <w:t>Uncertain Variables: Each variable is assigned a continuous triangle distribution, defined by worst, most likely, and best case values. The variables include sales growth, product price increase, materials cost increase, and fixed cost increase.</w:t>
      </w:r>
    </w:p>
    <w:p w14:paraId="264B0565" w14:textId="77777777" w:rsidR="00F72913" w:rsidRDefault="00F72913" w:rsidP="00F72913">
      <w:pPr>
        <w:jc w:val="center"/>
        <w:rPr>
          <w:noProof/>
        </w:rPr>
      </w:pPr>
      <w:r>
        <w:rPr>
          <w:noProof/>
        </w:rPr>
        <w:lastRenderedPageBreak/>
        <w:drawing>
          <wp:inline distT="0" distB="0" distL="0" distR="0" wp14:anchorId="61DB1045" wp14:editId="2C0C07A7">
            <wp:extent cx="2523744" cy="2286000"/>
            <wp:effectExtent l="0" t="0" r="0" b="0"/>
            <wp:docPr id="1716318957" name="Picture 1" descr="A blue triangle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09008" name="Picture 1" descr="A blue triangle with red lines&#10;&#10;Description automatically generated"/>
                    <pic:cNvPicPr/>
                  </pic:nvPicPr>
                  <pic:blipFill rotWithShape="1">
                    <a:blip r:embed="rId31"/>
                    <a:srcRect t="1960" b="1277"/>
                    <a:stretch/>
                  </pic:blipFill>
                  <pic:spPr bwMode="auto">
                    <a:xfrm>
                      <a:off x="0" y="0"/>
                      <a:ext cx="2523744" cy="228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8E4A50" wp14:editId="41C5C531">
            <wp:extent cx="2514600" cy="2286000"/>
            <wp:effectExtent l="0" t="0" r="0" b="0"/>
            <wp:docPr id="1138040014" name="Picture 1" descr="A graph with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56865" name="Picture 1" descr="A graph with a blue triangle&#10;&#10;Description automatically generated"/>
                    <pic:cNvPicPr/>
                  </pic:nvPicPr>
                  <pic:blipFill rotWithShape="1">
                    <a:blip r:embed="rId32"/>
                    <a:srcRect t="2513" r="2466" b="1488"/>
                    <a:stretch/>
                  </pic:blipFill>
                  <pic:spPr bwMode="auto">
                    <a:xfrm>
                      <a:off x="0" y="0"/>
                      <a:ext cx="2514600" cy="2286000"/>
                    </a:xfrm>
                    <a:prstGeom prst="rect">
                      <a:avLst/>
                    </a:prstGeom>
                    <a:ln>
                      <a:noFill/>
                    </a:ln>
                    <a:extLst>
                      <a:ext uri="{53640926-AAD7-44D8-BBD7-CCE9431645EC}">
                        <a14:shadowObscured xmlns:a14="http://schemas.microsoft.com/office/drawing/2010/main"/>
                      </a:ext>
                    </a:extLst>
                  </pic:spPr>
                </pic:pic>
              </a:graphicData>
            </a:graphic>
          </wp:inline>
        </w:drawing>
      </w:r>
    </w:p>
    <w:p w14:paraId="271ACDE8" w14:textId="77777777" w:rsidR="00F72913" w:rsidRDefault="00F72913" w:rsidP="00F72913">
      <w:pPr>
        <w:ind w:left="1440" w:firstLine="720"/>
        <w:rPr>
          <w:noProof/>
        </w:rPr>
      </w:pPr>
      <w:r>
        <w:rPr>
          <w:noProof/>
        </w:rPr>
        <w:t>Sales growth</w:t>
      </w:r>
      <w:r>
        <w:rPr>
          <w:noProof/>
        </w:rPr>
        <w:tab/>
      </w:r>
      <w:r>
        <w:rPr>
          <w:noProof/>
        </w:rPr>
        <w:tab/>
      </w:r>
      <w:r>
        <w:rPr>
          <w:noProof/>
        </w:rPr>
        <w:tab/>
      </w:r>
      <w:r>
        <w:rPr>
          <w:noProof/>
        </w:rPr>
        <w:tab/>
        <w:t>Product price increase</w:t>
      </w:r>
    </w:p>
    <w:p w14:paraId="4A5A0B6E" w14:textId="77777777" w:rsidR="00F72913" w:rsidRDefault="00F72913" w:rsidP="00F72913">
      <w:pPr>
        <w:jc w:val="center"/>
      </w:pPr>
      <w:r>
        <w:rPr>
          <w:noProof/>
        </w:rPr>
        <w:drawing>
          <wp:inline distT="0" distB="0" distL="0" distR="0" wp14:anchorId="5B2AB261" wp14:editId="100A1B51">
            <wp:extent cx="2505456" cy="2286000"/>
            <wp:effectExtent l="0" t="0" r="9525" b="0"/>
            <wp:docPr id="303154453" name="Picture 1" descr="A blue triangle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2248" name="Picture 1" descr="A blue triangle with red lines&#10;&#10;Description automatically generated"/>
                    <pic:cNvPicPr/>
                  </pic:nvPicPr>
                  <pic:blipFill rotWithShape="1">
                    <a:blip r:embed="rId33"/>
                    <a:srcRect t="1627" b="-1"/>
                    <a:stretch/>
                  </pic:blipFill>
                  <pic:spPr bwMode="auto">
                    <a:xfrm>
                      <a:off x="0" y="0"/>
                      <a:ext cx="2505456" cy="228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C6B15D" wp14:editId="578F2CCD">
            <wp:extent cx="2492337" cy="2286000"/>
            <wp:effectExtent l="0" t="0" r="3810" b="0"/>
            <wp:docPr id="508424938" name="Picture 1" descr="A blue triangle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80606" name="Picture 1" descr="A blue triangle with red lines&#10;&#10;Description automatically generated"/>
                    <pic:cNvPicPr/>
                  </pic:nvPicPr>
                  <pic:blipFill>
                    <a:blip r:embed="rId34"/>
                    <a:stretch>
                      <a:fillRect/>
                    </a:stretch>
                  </pic:blipFill>
                  <pic:spPr>
                    <a:xfrm>
                      <a:off x="0" y="0"/>
                      <a:ext cx="2492337" cy="2286000"/>
                    </a:xfrm>
                    <a:prstGeom prst="rect">
                      <a:avLst/>
                    </a:prstGeom>
                  </pic:spPr>
                </pic:pic>
              </a:graphicData>
            </a:graphic>
          </wp:inline>
        </w:drawing>
      </w:r>
    </w:p>
    <w:p w14:paraId="7B75661B" w14:textId="77777777" w:rsidR="00F72913" w:rsidRDefault="00F72913" w:rsidP="00F72913">
      <w:pPr>
        <w:ind w:left="1440"/>
      </w:pPr>
      <w:r>
        <w:t xml:space="preserve">Materials cost increase </w:t>
      </w:r>
      <w:r>
        <w:tab/>
      </w:r>
      <w:r>
        <w:tab/>
      </w:r>
      <w:r>
        <w:tab/>
      </w:r>
      <w:r>
        <w:tab/>
        <w:t>Fixed cost increase</w:t>
      </w:r>
    </w:p>
    <w:p w14:paraId="305C92C1" w14:textId="1247AE73" w:rsidR="00F72913" w:rsidRDefault="00F72913" w:rsidP="00F72913">
      <w:pPr>
        <w:pStyle w:val="Caption"/>
        <w:jc w:val="center"/>
      </w:pPr>
      <w:r>
        <w:t xml:space="preserve">Figure </w:t>
      </w:r>
      <w:fldSimple w:instr=" SEQ Figure \* ARABIC ">
        <w:r w:rsidR="0074672C">
          <w:rPr>
            <w:noProof/>
          </w:rPr>
          <w:t>5</w:t>
        </w:r>
      </w:fldSimple>
      <w:r>
        <w:t xml:space="preserve"> Uncertain variables distribution</w:t>
      </w:r>
    </w:p>
    <w:p w14:paraId="176A39A0" w14:textId="77777777" w:rsidR="00573B85" w:rsidRDefault="00573B85" w:rsidP="00F72913"/>
    <w:p w14:paraId="1C76FF2D" w14:textId="7724740F" w:rsidR="0028016B" w:rsidRDefault="0022592F" w:rsidP="00F72913">
      <w:r w:rsidRPr="0022592F">
        <w:t xml:space="preserve">Assuming the company plans to invest in four machines, the simulation runs 1,000 trials, producing probability distributions for </w:t>
      </w:r>
      <w:r>
        <w:t>the economic simulation model’s uncertain functions (</w:t>
      </w:r>
      <w:r w:rsidRPr="0022592F">
        <w:t>profit</w:t>
      </w:r>
      <w:r>
        <w:t>,</w:t>
      </w:r>
      <w:r w:rsidRPr="0022592F">
        <w:t xml:space="preserve"> and ROI</w:t>
      </w:r>
      <w:r>
        <w:t>)</w:t>
      </w:r>
      <w:r w:rsidRPr="0022592F">
        <w:t xml:space="preserve">. For example, the mean profit is $0.7 million with a standard deviation of $0.6 million. This variability highlights the risk of deviations from expected profitability. Analyzing the distribution graph and </w:t>
      </w:r>
      <w:r w:rsidRPr="0022592F">
        <w:lastRenderedPageBreak/>
        <w:t>conducting a sensitivity study can provide further insights and aid in risk management and decision-making</w:t>
      </w:r>
      <w:r w:rsidR="0028016B" w:rsidRPr="0028016B">
        <w:t>.</w:t>
      </w:r>
    </w:p>
    <w:p w14:paraId="0FE57986" w14:textId="6FEE8848" w:rsidR="0022592F" w:rsidRPr="0022592F" w:rsidRDefault="0022592F" w:rsidP="0022592F">
      <w:pPr>
        <w:rPr>
          <w:b/>
          <w:bCs/>
        </w:rPr>
      </w:pPr>
      <w:bookmarkStart w:id="94" w:name="_Hlk170472993"/>
      <w:bookmarkEnd w:id="93"/>
      <w:r w:rsidRPr="0022592F">
        <w:rPr>
          <w:b/>
          <w:bCs/>
        </w:rPr>
        <w:t>Simulation Results</w:t>
      </w:r>
      <w:r w:rsidR="00C21DBE" w:rsidRPr="0022592F">
        <w:rPr>
          <w:b/>
          <w:bCs/>
        </w:rPr>
        <w:t xml:space="preserve"> Visualization </w:t>
      </w:r>
      <w:r w:rsidRPr="0022592F">
        <w:rPr>
          <w:b/>
          <w:bCs/>
        </w:rPr>
        <w:t>and Interpretation</w:t>
      </w:r>
    </w:p>
    <w:p w14:paraId="5B0BB81A" w14:textId="04E79157" w:rsidR="0022592F" w:rsidRDefault="0022592F" w:rsidP="0022592F">
      <w:r>
        <w:t xml:space="preserve">Simulation tools like Solver offer visualizations such as distribution frequency charts and cumulative frequency analysis. </w:t>
      </w:r>
      <w:r w:rsidRPr="00F006A5">
        <w:t>For instance,</w:t>
      </w:r>
      <w:r>
        <w:t xml:space="preserve"> </w:t>
      </w:r>
      <w:r>
        <w:fldChar w:fldCharType="begin"/>
      </w:r>
      <w:r>
        <w:instrText xml:space="preserve"> REF _Ref176009305 \h </w:instrText>
      </w:r>
      <w:r>
        <w:fldChar w:fldCharType="separate"/>
      </w:r>
      <w:r w:rsidR="0074672C">
        <w:t xml:space="preserve">Figure </w:t>
      </w:r>
      <w:r w:rsidR="0074672C">
        <w:rPr>
          <w:noProof/>
        </w:rPr>
        <w:t>6</w:t>
      </w:r>
      <w:r>
        <w:fldChar w:fldCharType="end"/>
      </w:r>
      <w:r>
        <w:t xml:space="preserve"> </w:t>
      </w:r>
      <w:r w:rsidRPr="00F006A5">
        <w:t xml:space="preserve">shows </w:t>
      </w:r>
      <w:r>
        <w:t xml:space="preserve">that the most likely profit is $1.2 million, with a 32% probability, though the average profit is lower. The result suggests that achieving the expected profit depends on fully utilizing the new production capacity from four additional machines. Otherwise, the firm could face significant profit margin fluctuations due to volatile market conditions. </w:t>
      </w:r>
    </w:p>
    <w:p w14:paraId="78962546" w14:textId="63B3E188" w:rsidR="00F006A5" w:rsidRDefault="0022592F" w:rsidP="00DA0DCA">
      <w:r>
        <w:t xml:space="preserve">Cumulative frequency </w:t>
      </w:r>
      <w:r w:rsidRPr="00F006A5">
        <w:t xml:space="preserve">analysis </w:t>
      </w:r>
      <w:r>
        <w:t>(</w:t>
      </w:r>
      <w:r>
        <w:fldChar w:fldCharType="begin"/>
      </w:r>
      <w:r>
        <w:instrText xml:space="preserve"> REF _Ref176010662 \h </w:instrText>
      </w:r>
      <w:r>
        <w:fldChar w:fldCharType="separate"/>
      </w:r>
      <w:r w:rsidR="0074672C">
        <w:t xml:space="preserve">Figure </w:t>
      </w:r>
      <w:r w:rsidR="0074672C">
        <w:rPr>
          <w:noProof/>
        </w:rPr>
        <w:t>7</w:t>
      </w:r>
      <w:r>
        <w:fldChar w:fldCharType="end"/>
      </w:r>
      <w:r>
        <w:t>) provides quantitative insight into investment risk, with a 17% likelihood that the investment might lead to a loss. Depending on the company's strategic goals—whether it prioritizes stability or growth—these insights guide how decision-makers weigh risks and opportunities in their final judgment</w:t>
      </w:r>
      <w:r w:rsidR="00F006A5">
        <w:t>.</w:t>
      </w:r>
    </w:p>
    <w:p w14:paraId="7DC96901" w14:textId="77007970" w:rsidR="0009631C" w:rsidRDefault="0009631C" w:rsidP="005A4F1F">
      <w:pPr>
        <w:jc w:val="center"/>
      </w:pPr>
      <w:r>
        <w:rPr>
          <w:noProof/>
        </w:rPr>
        <w:drawing>
          <wp:inline distT="0" distB="0" distL="0" distR="0" wp14:anchorId="683FB545" wp14:editId="4FB8080D">
            <wp:extent cx="3348037" cy="2495550"/>
            <wp:effectExtent l="0" t="0" r="5080" b="0"/>
            <wp:docPr id="17807238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48653" name="Picture 1" descr="A graph with a red line&#10;&#10;Description automatically generated"/>
                    <pic:cNvPicPr/>
                  </pic:nvPicPr>
                  <pic:blipFill rotWithShape="1">
                    <a:blip r:embed="rId35"/>
                    <a:srcRect t="10926" r="26869"/>
                    <a:stretch/>
                  </pic:blipFill>
                  <pic:spPr bwMode="auto">
                    <a:xfrm>
                      <a:off x="0" y="0"/>
                      <a:ext cx="3355337" cy="2500991"/>
                    </a:xfrm>
                    <a:prstGeom prst="rect">
                      <a:avLst/>
                    </a:prstGeom>
                    <a:ln>
                      <a:noFill/>
                    </a:ln>
                    <a:extLst>
                      <a:ext uri="{53640926-AAD7-44D8-BBD7-CCE9431645EC}">
                        <a14:shadowObscured xmlns:a14="http://schemas.microsoft.com/office/drawing/2010/main"/>
                      </a:ext>
                    </a:extLst>
                  </pic:spPr>
                </pic:pic>
              </a:graphicData>
            </a:graphic>
          </wp:inline>
        </w:drawing>
      </w:r>
    </w:p>
    <w:p w14:paraId="3D2D506F" w14:textId="193DB775" w:rsidR="0009631C" w:rsidRDefault="0009631C" w:rsidP="005A4F1F">
      <w:pPr>
        <w:pStyle w:val="Caption"/>
        <w:jc w:val="center"/>
      </w:pPr>
      <w:bookmarkStart w:id="95" w:name="_Ref176009305"/>
      <w:r>
        <w:t xml:space="preserve">Figure </w:t>
      </w:r>
      <w:fldSimple w:instr=" SEQ Figure \* ARABIC ">
        <w:r w:rsidR="0074672C">
          <w:rPr>
            <w:noProof/>
          </w:rPr>
          <w:t>6</w:t>
        </w:r>
      </w:fldSimple>
      <w:bookmarkEnd w:id="95"/>
      <w:r>
        <w:t xml:space="preserve"> Probability distribution of profit</w:t>
      </w:r>
    </w:p>
    <w:p w14:paraId="3118B5B2" w14:textId="0DB2AACD" w:rsidR="0009631C" w:rsidRDefault="0009631C" w:rsidP="005A4F1F">
      <w:pPr>
        <w:jc w:val="center"/>
      </w:pPr>
      <w:r>
        <w:rPr>
          <w:noProof/>
        </w:rPr>
        <w:lastRenderedPageBreak/>
        <w:drawing>
          <wp:inline distT="0" distB="0" distL="0" distR="0" wp14:anchorId="1A4F3D63" wp14:editId="1D7BC324">
            <wp:extent cx="3724275" cy="2866032"/>
            <wp:effectExtent l="0" t="0" r="0" b="0"/>
            <wp:docPr id="1608954741" name="Picture 1" descr="A graph with a bar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44354" name="Picture 1" descr="A graph with a bar and a red line&#10;&#10;Description automatically generated with medium confidence"/>
                    <pic:cNvPicPr/>
                  </pic:nvPicPr>
                  <pic:blipFill rotWithShape="1">
                    <a:blip r:embed="rId36"/>
                    <a:srcRect t="13929" r="30826" b="1"/>
                    <a:stretch/>
                  </pic:blipFill>
                  <pic:spPr bwMode="auto">
                    <a:xfrm>
                      <a:off x="0" y="0"/>
                      <a:ext cx="3727668" cy="2868643"/>
                    </a:xfrm>
                    <a:prstGeom prst="rect">
                      <a:avLst/>
                    </a:prstGeom>
                    <a:ln>
                      <a:noFill/>
                    </a:ln>
                    <a:extLst>
                      <a:ext uri="{53640926-AAD7-44D8-BBD7-CCE9431645EC}">
                        <a14:shadowObscured xmlns:a14="http://schemas.microsoft.com/office/drawing/2010/main"/>
                      </a:ext>
                    </a:extLst>
                  </pic:spPr>
                </pic:pic>
              </a:graphicData>
            </a:graphic>
          </wp:inline>
        </w:drawing>
      </w:r>
    </w:p>
    <w:p w14:paraId="2814857D" w14:textId="0197DC1E" w:rsidR="0009631C" w:rsidRDefault="0009631C" w:rsidP="005A4F1F">
      <w:pPr>
        <w:pStyle w:val="Caption"/>
        <w:jc w:val="center"/>
      </w:pPr>
      <w:bookmarkStart w:id="96" w:name="_Ref176010662"/>
      <w:r>
        <w:t xml:space="preserve">Figure </w:t>
      </w:r>
      <w:fldSimple w:instr=" SEQ Figure \* ARABIC ">
        <w:r w:rsidR="0074672C">
          <w:rPr>
            <w:noProof/>
          </w:rPr>
          <w:t>7</w:t>
        </w:r>
      </w:fldSimple>
      <w:bookmarkEnd w:id="96"/>
      <w:r>
        <w:t>Cumulative distribution of profit</w:t>
      </w:r>
    </w:p>
    <w:p w14:paraId="1BFF4C3A" w14:textId="212CEFAD" w:rsidR="0009631C" w:rsidRPr="0022592F" w:rsidRDefault="0009631C" w:rsidP="0022592F">
      <w:pPr>
        <w:rPr>
          <w:b/>
          <w:bCs/>
        </w:rPr>
      </w:pPr>
      <w:r w:rsidRPr="0022592F">
        <w:rPr>
          <w:b/>
          <w:bCs/>
        </w:rPr>
        <w:t xml:space="preserve">Sensitivity Analysis </w:t>
      </w:r>
    </w:p>
    <w:p w14:paraId="51DA1A8C" w14:textId="185C9334" w:rsidR="0028016B" w:rsidRDefault="00E83024" w:rsidP="0009631C">
      <w:r w:rsidRPr="00E83024">
        <w:t xml:space="preserve">Sensitivity analysis determines how changes in input variables affect outcomes, helping identify the most critical variables and their influence on investment decisions. </w:t>
      </w:r>
      <w:r>
        <w:fldChar w:fldCharType="begin"/>
      </w:r>
      <w:r>
        <w:instrText xml:space="preserve"> REF _Ref175923389 \h </w:instrText>
      </w:r>
      <w:r>
        <w:fldChar w:fldCharType="separate"/>
      </w:r>
      <w:r w:rsidR="0074672C">
        <w:t xml:space="preserve">Figure </w:t>
      </w:r>
      <w:r w:rsidR="0074672C">
        <w:rPr>
          <w:noProof/>
        </w:rPr>
        <w:t>8</w:t>
      </w:r>
      <w:r>
        <w:fldChar w:fldCharType="end"/>
      </w:r>
      <w:r>
        <w:t xml:space="preserve"> </w:t>
      </w:r>
      <w:r w:rsidRPr="00E83024">
        <w:t>illustrates profit sensitivity to various uncertain variables at a 90% confidence interval. The analysis shows that profitability is highly sensitive to market demand, while factors like product price and costs have less impact on profit volatility. Understanding these sensitivities enables businesses to focus on boosting demand to maximize returns.</w:t>
      </w:r>
    </w:p>
    <w:p w14:paraId="46EE2AA4" w14:textId="77777777" w:rsidR="005A4F1F" w:rsidRDefault="005A4F1F" w:rsidP="005A4F1F">
      <w:pPr>
        <w:jc w:val="center"/>
      </w:pPr>
      <w:r>
        <w:rPr>
          <w:noProof/>
        </w:rPr>
        <w:lastRenderedPageBreak/>
        <w:drawing>
          <wp:inline distT="0" distB="0" distL="0" distR="0" wp14:anchorId="63CA37AF" wp14:editId="5FC72E68">
            <wp:extent cx="4469587" cy="2781421"/>
            <wp:effectExtent l="0" t="0" r="7620" b="0"/>
            <wp:docPr id="144513070"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8232" name="Picture 1" descr="A graph with numbers and a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3893" cy="2790324"/>
                    </a:xfrm>
                    <a:prstGeom prst="rect">
                      <a:avLst/>
                    </a:prstGeom>
                    <a:noFill/>
                  </pic:spPr>
                </pic:pic>
              </a:graphicData>
            </a:graphic>
          </wp:inline>
        </w:drawing>
      </w:r>
    </w:p>
    <w:p w14:paraId="39E6BC15" w14:textId="3985F70B" w:rsidR="005A4F1F" w:rsidRDefault="005A4F1F" w:rsidP="005A4F1F">
      <w:pPr>
        <w:pStyle w:val="Caption"/>
        <w:jc w:val="center"/>
      </w:pPr>
      <w:bookmarkStart w:id="97" w:name="_Ref175923389"/>
      <w:r>
        <w:t xml:space="preserve">Figure </w:t>
      </w:r>
      <w:fldSimple w:instr=" SEQ Figure \* ARABIC ">
        <w:r w:rsidR="0074672C">
          <w:rPr>
            <w:noProof/>
          </w:rPr>
          <w:t>8</w:t>
        </w:r>
      </w:fldSimple>
      <w:bookmarkEnd w:id="97"/>
      <w:r>
        <w:t xml:space="preserve"> Sensitivity analysis for profit</w:t>
      </w:r>
    </w:p>
    <w:p w14:paraId="7E6C120B" w14:textId="77777777" w:rsidR="00E83024" w:rsidRPr="00E83024" w:rsidRDefault="00E83024" w:rsidP="00E83024">
      <w:pPr>
        <w:rPr>
          <w:b/>
          <w:bCs/>
        </w:rPr>
      </w:pPr>
      <w:r w:rsidRPr="00E83024">
        <w:rPr>
          <w:b/>
          <w:bCs/>
        </w:rPr>
        <w:t>Conclusion</w:t>
      </w:r>
    </w:p>
    <w:p w14:paraId="12FD39B8" w14:textId="77777777" w:rsidR="00E83024" w:rsidRDefault="00E83024" w:rsidP="00E83024">
      <w:r>
        <w:t>Monte Carlo Simulation provides valuable insights into profitability under uncertain conditions. Assuming the company plans to invest in four machines, the most likely profit from the investment is $1.2 million, with a 32% probability, while the average profit is $0.7 million. Cumulative analysis shows an 83% chance of positive returns and a 17% risk of loss. Sensitivity analysis indicates high sensitivity to market demand, emphasizing the need to manage production capacity and market demand to optimize returns.</w:t>
      </w:r>
    </w:p>
    <w:p w14:paraId="179BF5ED" w14:textId="77777777" w:rsidR="00E83024" w:rsidRPr="00E83024" w:rsidRDefault="00E83024" w:rsidP="00E83024">
      <w:pPr>
        <w:rPr>
          <w:b/>
          <w:bCs/>
        </w:rPr>
      </w:pPr>
      <w:r w:rsidRPr="00E83024">
        <w:rPr>
          <w:b/>
          <w:bCs/>
        </w:rPr>
        <w:t>Lessons Learned</w:t>
      </w:r>
    </w:p>
    <w:p w14:paraId="553653C5" w14:textId="77777777" w:rsidR="00E83024" w:rsidRDefault="00E83024" w:rsidP="00D81274">
      <w:pPr>
        <w:pStyle w:val="ListParagraph"/>
        <w:numPr>
          <w:ilvl w:val="0"/>
          <w:numId w:val="38"/>
        </w:numPr>
      </w:pPr>
      <w:r>
        <w:t>Enhanced Decision-Making through Simulation: Monte Carlo simulation quantifies and visualizes investment uncertainty, providing a framework for understanding potential outcomes and making more informed decisions.</w:t>
      </w:r>
    </w:p>
    <w:p w14:paraId="2038A222" w14:textId="79CA015B" w:rsidR="00E83024" w:rsidRDefault="00E83024" w:rsidP="00D81274">
      <w:pPr>
        <w:pStyle w:val="ListParagraph"/>
        <w:numPr>
          <w:ilvl w:val="0"/>
          <w:numId w:val="38"/>
        </w:numPr>
      </w:pPr>
      <w:r>
        <w:t xml:space="preserve">Sensitivity Analysis for Strategic Focus: Sensitivity analysis identifies the most impactful variables, allowing businesses to concentrate efforts where they will have the </w:t>
      </w:r>
      <w:r w:rsidR="003914B6">
        <w:t>most significan</w:t>
      </w:r>
      <w:r>
        <w:t>t effect.</w:t>
      </w:r>
    </w:p>
    <w:p w14:paraId="1E2F99E5" w14:textId="37B0A59A" w:rsidR="00E83024" w:rsidRDefault="00E83024" w:rsidP="00D81274">
      <w:pPr>
        <w:pStyle w:val="ListParagraph"/>
        <w:numPr>
          <w:ilvl w:val="0"/>
          <w:numId w:val="38"/>
        </w:numPr>
      </w:pPr>
      <w:r>
        <w:lastRenderedPageBreak/>
        <w:t>Probability Analysis for Risk Management: Visualizing the probability distribution of outcomes clarifies potential risks and opportunities, supporting effective strategies for managing uncertainties.</w:t>
      </w:r>
    </w:p>
    <w:p w14:paraId="37819B07" w14:textId="0E07AC5C" w:rsidR="00114DDB" w:rsidRDefault="00114DDB" w:rsidP="00114DDB">
      <w:pPr>
        <w:pStyle w:val="Heading3"/>
      </w:pPr>
      <w:bookmarkStart w:id="98" w:name="_Hlk170591796"/>
      <w:bookmarkStart w:id="99" w:name="_Hlk163201210"/>
      <w:bookmarkEnd w:id="94"/>
      <w:r>
        <w:t>Gain a Comprehensive Business Perspective through Integrated Simulation</w:t>
      </w:r>
    </w:p>
    <w:p w14:paraId="67B938E0" w14:textId="3793756D" w:rsidR="00E83024" w:rsidRDefault="00E83024" w:rsidP="00D134E3">
      <w:r w:rsidRPr="00E83024">
        <w:t xml:space="preserve">The previous sections examined how decision-makers can use Scenario Analysis and Monte Carlo simulations to help assess the impact of uncertain business conditions on machinery investment decisions. These methods help identify opportunities to capitalize on future market demand growth. After understanding the impact of uncertain market conditions on an </w:t>
      </w:r>
      <w:r>
        <w:t xml:space="preserve">investment </w:t>
      </w:r>
      <w:r w:rsidRPr="00E83024">
        <w:t>option with simulation, decision-makers may naturally raise a new question: Can Monte Carlo simulations also evaluate the outcomes of different investment options, such as acquiring two, three, four, or five machines, in terms of profitability under these uncertain conditions? By simultaneously simulating both decision options and uncertainty variables, integrated simulations provide a comprehensive view of the business outlook, offering valuable insights that significantly enhance the decision-making process.</w:t>
      </w:r>
    </w:p>
    <w:p w14:paraId="61136211" w14:textId="75E1082F" w:rsidR="00D134E3" w:rsidRDefault="00D134E3" w:rsidP="00D134E3">
      <w:pPr>
        <w:pStyle w:val="Heading4"/>
      </w:pPr>
      <w:r>
        <w:t>Build</w:t>
      </w:r>
      <w:r w:rsidR="00E83024">
        <w:t xml:space="preserve"> </w:t>
      </w:r>
      <w:r>
        <w:t>an Integrated Simulation Model and Present Results</w:t>
      </w:r>
    </w:p>
    <w:p w14:paraId="20B58395" w14:textId="77777777" w:rsidR="00E83024" w:rsidRDefault="00E83024" w:rsidP="00E83024">
      <w:r>
        <w:t>Constructing an integrated simulation model for enhanced decision-making presents two primary challenges. First, the model must autonomously execute multiple simulations that reflect business uncertainties tailored to specific decision options. Second, it must visualize and interpret data in a way that enables business decision-makers to clearly understand the potential outcomes of feasible decisions without being overwhelmed by statistical details. The goal is to make the complexities of data analysis accessible and actionable for decision-makers, ensuring that insights are clear and directly applicable to strategic decision-making.</w:t>
      </w:r>
    </w:p>
    <w:p w14:paraId="0B3AB6EF" w14:textId="1BCE3C2F" w:rsidR="00D134E3" w:rsidRDefault="00E83024" w:rsidP="00E83024">
      <w:r>
        <w:t xml:space="preserve">Advanced commercial simulation software addresses these challenges by empowering decision analysts to focus on improving decision-making processes. For instance, the Solver Add-in allows users to define </w:t>
      </w:r>
      <w:r>
        <w:lastRenderedPageBreak/>
        <w:t>and adjust simulation parameters for different decision options. Its intuitive presentation formats, like trend charts, visually represent key statistics such as mean values and percentage ranges from simulations. These tools offer actionable insights, bridging the gap between complex data and strategic business decisions</w:t>
      </w:r>
      <w:r w:rsidR="00D134E3" w:rsidRPr="00D134E3">
        <w:t>.</w:t>
      </w:r>
    </w:p>
    <w:p w14:paraId="254838CF" w14:textId="695CEC7D" w:rsidR="00D134E3" w:rsidRDefault="00D134E3" w:rsidP="00D134E3">
      <w:pPr>
        <w:pStyle w:val="Heading4"/>
      </w:pPr>
      <w:r>
        <w:t>Case Study: Evaluat</w:t>
      </w:r>
      <w:r w:rsidR="00E83024">
        <w:t>e</w:t>
      </w:r>
      <w:r>
        <w:t xml:space="preserve"> Machinery Investment</w:t>
      </w:r>
      <w:r w:rsidR="00E83024">
        <w:t xml:space="preserve"> Options </w:t>
      </w:r>
      <w:r>
        <w:t>with Integrated Simulation</w:t>
      </w:r>
    </w:p>
    <w:p w14:paraId="0C8812E9" w14:textId="1A7A0810" w:rsidR="00E83024" w:rsidRDefault="00E83024" w:rsidP="00E83024">
      <w:r w:rsidRPr="00E83024">
        <w:rPr>
          <w:b/>
          <w:bCs/>
        </w:rPr>
        <w:t>Context:</w:t>
      </w:r>
      <w:r>
        <w:t xml:space="preserve"> After analyzing Monte Carlo simulation outcomes that revealed significant financial return volatility associated with investing in four machines, the firm recognized the limitations of its prior decision-making processes in adapting to current market fluctuations. Given evolving market dynamics, the initial intuition to invest in four machines may need to align with the company's strategic objectives. The case explores how an integrated simulation model can refine the firm's approach to machinery investment by evaluating various options in light of uncertain market conditions.</w:t>
      </w:r>
    </w:p>
    <w:p w14:paraId="5B4A2B57" w14:textId="77777777" w:rsidR="00E83024" w:rsidRDefault="00E83024" w:rsidP="00E83024">
      <w:r>
        <w:t>Due to its strong financial position, established operational capabilities, and proficiency in recruiting and training operators, the firm has the capacity to invest in up to six machines. The objective of the decision evaluation is to determine the optimal number of machines to invest in to drive growth while mitigating exposure to market uncertainties.</w:t>
      </w:r>
    </w:p>
    <w:p w14:paraId="476D995F" w14:textId="77777777" w:rsidR="00E83024" w:rsidRPr="00E83024" w:rsidRDefault="00E83024" w:rsidP="00E83024">
      <w:pPr>
        <w:rPr>
          <w:b/>
          <w:bCs/>
        </w:rPr>
      </w:pPr>
      <w:r w:rsidRPr="00E83024">
        <w:rPr>
          <w:b/>
          <w:bCs/>
        </w:rPr>
        <w:t>Simulation Model Construction</w:t>
      </w:r>
    </w:p>
    <w:p w14:paraId="52A1B983" w14:textId="77777777" w:rsidR="00E83024" w:rsidRDefault="00E83024" w:rsidP="00E83024">
      <w:r>
        <w:t>The analyst incorporates a new simulation function for machinery investment options into the existing market uncertainty simulation model to assess the interconnected effects of different decision options and uncertain market variables. The Solver's capabilities allow decision analysts to program an integrated simulation model by combining investment options (ranging from one to six machines) with uncertain market variables.</w:t>
      </w:r>
    </w:p>
    <w:p w14:paraId="2156B4ED" w14:textId="7EE55302" w:rsidR="00E83024" w:rsidRDefault="00E83024" w:rsidP="00E83024">
      <w:r>
        <w:t>The model details include:</w:t>
      </w:r>
    </w:p>
    <w:p w14:paraId="1667B5E0" w14:textId="77777777" w:rsidR="00E83024" w:rsidRDefault="00E83024" w:rsidP="00D81274">
      <w:pPr>
        <w:pStyle w:val="ListParagraph"/>
        <w:numPr>
          <w:ilvl w:val="0"/>
          <w:numId w:val="39"/>
        </w:numPr>
      </w:pPr>
      <w:r>
        <w:lastRenderedPageBreak/>
        <w:t>Uncertain variables: Sales growth, product price increase, materials cost increase, and fixed cost increase, modeled using continuous triangular distributions</w:t>
      </w:r>
    </w:p>
    <w:p w14:paraId="23B91AAF" w14:textId="77777777" w:rsidR="00E83024" w:rsidRDefault="00E83024" w:rsidP="00D81274">
      <w:pPr>
        <w:pStyle w:val="ListParagraph"/>
        <w:numPr>
          <w:ilvl w:val="0"/>
          <w:numId w:val="39"/>
        </w:numPr>
      </w:pPr>
      <w:r>
        <w:t>Uncertain functions: Profit and Return on Investment</w:t>
      </w:r>
    </w:p>
    <w:p w14:paraId="0F4169EB" w14:textId="77777777" w:rsidR="00E83024" w:rsidRDefault="00E83024" w:rsidP="00D81274">
      <w:pPr>
        <w:pStyle w:val="ListParagraph"/>
        <w:numPr>
          <w:ilvl w:val="0"/>
          <w:numId w:val="39"/>
        </w:numPr>
      </w:pPr>
      <w:r>
        <w:t>Simulation parameters: The number of machines to invest in (1 to 6)</w:t>
      </w:r>
    </w:p>
    <w:p w14:paraId="5B8914A4" w14:textId="25A76272" w:rsidR="00E83024" w:rsidRDefault="00E83024" w:rsidP="00D81274">
      <w:pPr>
        <w:pStyle w:val="ListParagraph"/>
        <w:numPr>
          <w:ilvl w:val="0"/>
          <w:numId w:val="39"/>
        </w:numPr>
      </w:pPr>
      <w:r>
        <w:t>Simulation runs: 1,000 trials for each simulation parameter</w:t>
      </w:r>
    </w:p>
    <w:p w14:paraId="34E9C13A" w14:textId="77777777" w:rsidR="00E83024" w:rsidRDefault="00E83024" w:rsidP="00E83024">
      <w:r>
        <w:t>This parameterization enables the model to evaluate all feasible investment options the firm could realistically pursue.</w:t>
      </w:r>
    </w:p>
    <w:p w14:paraId="06A6AC42" w14:textId="77777777" w:rsidR="00E83024" w:rsidRPr="00CB5A5E" w:rsidRDefault="00E83024" w:rsidP="00E83024">
      <w:pPr>
        <w:rPr>
          <w:b/>
          <w:bCs/>
        </w:rPr>
      </w:pPr>
      <w:r w:rsidRPr="00CB5A5E">
        <w:rPr>
          <w:b/>
          <w:bCs/>
        </w:rPr>
        <w:t>Simulation Results Interpretation</w:t>
      </w:r>
    </w:p>
    <w:p w14:paraId="432B1FD1" w14:textId="1C765C0C" w:rsidR="00E83024" w:rsidRDefault="00CB5A5E" w:rsidP="00E83024">
      <w:r>
        <w:t xml:space="preserve">The </w:t>
      </w:r>
      <w:r w:rsidR="00E83024">
        <w:t xml:space="preserve">Solver's </w:t>
      </w:r>
      <w:r>
        <w:t>“</w:t>
      </w:r>
      <w:r w:rsidR="00E83024">
        <w:t>Trend Analysis</w:t>
      </w:r>
      <w:r>
        <w:t>”</w:t>
      </w:r>
      <w:r w:rsidR="00E83024">
        <w:t xml:space="preserve"> function visualizes the average profit values with percentage bands at 75% and 90% confidence levels for all decision options</w:t>
      </w:r>
      <w:r>
        <w:t xml:space="preserve"> (</w:t>
      </w:r>
      <w:r>
        <w:fldChar w:fldCharType="begin"/>
      </w:r>
      <w:r>
        <w:instrText xml:space="preserve"> REF _Ref176685103 \h </w:instrText>
      </w:r>
      <w:r>
        <w:fldChar w:fldCharType="separate"/>
      </w:r>
      <w:r w:rsidR="0074672C" w:rsidRPr="00CB5A5E">
        <w:t xml:space="preserve">Figure </w:t>
      </w:r>
      <w:r w:rsidR="0074672C">
        <w:rPr>
          <w:noProof/>
        </w:rPr>
        <w:t>9</w:t>
      </w:r>
      <w:r>
        <w:fldChar w:fldCharType="end"/>
      </w:r>
      <w:r>
        <w:t>)</w:t>
      </w:r>
      <w:r w:rsidR="00E83024">
        <w:t xml:space="preserve">. </w:t>
      </w:r>
      <w:r>
        <w:t>A</w:t>
      </w:r>
      <w:r w:rsidR="00E83024">
        <w:t xml:space="preserve"> confidence level of 75% means there is a 75% chance that the actual profit will fall within the specified range based on the simulation model. Similarly, a 90% confidence level provides 90% certainty. These confidence intervals help decision-makers assess each investment option's potential risk and opportunity.</w:t>
      </w:r>
    </w:p>
    <w:p w14:paraId="68706579" w14:textId="77777777" w:rsidR="00E83024" w:rsidRDefault="00E83024" w:rsidP="00E83024">
      <w:r>
        <w:t xml:space="preserve">The combined area chart provides a holistic view of the expected average profits, associated risks (lower band), and optimistic opportunities (higher band) for all investment options. </w:t>
      </w:r>
    </w:p>
    <w:p w14:paraId="106598D4" w14:textId="4B26CA1A" w:rsidR="00E83024" w:rsidRDefault="00E83024" w:rsidP="00E83024">
      <w:r>
        <w:t xml:space="preserve">For example, the trend analysis reveals that profits from additional machinery remain within a narrow range if the company invests in one or two machines, indicating minimal risk when the investment is too small to be affected by market fluctuations. Investing in two machines yields an average expected profit of $0.65 million, with a narrow range between $0.59 and $0.71 million at a 75% confidence level. The Mean expected profit peaks at $0.85 million with three machines, but this option </w:t>
      </w:r>
      <w:r w:rsidR="00CB5A5E">
        <w:t xml:space="preserve">significantly </w:t>
      </w:r>
      <w:r>
        <w:t>increases profit volatility due to the impact of market growth uncertainty. Investing in five machines reduces average expected profitability and increases risk, but the opportunity for maximum profit under the best market scenarios is higher.</w:t>
      </w:r>
    </w:p>
    <w:p w14:paraId="34DC8B7D" w14:textId="461DEAB4" w:rsidR="00522C63" w:rsidRDefault="00522C63" w:rsidP="00D134E3">
      <w:r>
        <w:rPr>
          <w:noProof/>
        </w:rPr>
        <w:lastRenderedPageBreak/>
        <w:drawing>
          <wp:inline distT="0" distB="0" distL="0" distR="0" wp14:anchorId="2E89CC05" wp14:editId="7764985B">
            <wp:extent cx="4947557" cy="3623177"/>
            <wp:effectExtent l="0" t="0" r="5715" b="0"/>
            <wp:docPr id="1631303281" name="Picture 1" descr="A graph with a green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4804" name="Picture 1" descr="A graph with a green line and blu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2430" cy="3634069"/>
                    </a:xfrm>
                    <a:prstGeom prst="rect">
                      <a:avLst/>
                    </a:prstGeom>
                    <a:noFill/>
                  </pic:spPr>
                </pic:pic>
              </a:graphicData>
            </a:graphic>
          </wp:inline>
        </w:drawing>
      </w:r>
    </w:p>
    <w:p w14:paraId="655D92CB" w14:textId="3DBB2331" w:rsidR="00D134E3" w:rsidRPr="00CB5A5E" w:rsidRDefault="00CB5A5E" w:rsidP="00CB5A5E">
      <w:pPr>
        <w:pStyle w:val="Caption"/>
        <w:jc w:val="center"/>
        <w:rPr>
          <w:sz w:val="22"/>
          <w:szCs w:val="22"/>
        </w:rPr>
      </w:pPr>
      <w:bookmarkStart w:id="100" w:name="_Ref176685103"/>
      <w:r w:rsidRPr="00CB5A5E">
        <w:rPr>
          <w:sz w:val="22"/>
          <w:szCs w:val="22"/>
        </w:rPr>
        <w:t xml:space="preserve">Figure </w:t>
      </w:r>
      <w:r w:rsidRPr="00CB5A5E">
        <w:rPr>
          <w:sz w:val="22"/>
          <w:szCs w:val="22"/>
        </w:rPr>
        <w:fldChar w:fldCharType="begin"/>
      </w:r>
      <w:r w:rsidRPr="00CB5A5E">
        <w:rPr>
          <w:sz w:val="22"/>
          <w:szCs w:val="22"/>
        </w:rPr>
        <w:instrText xml:space="preserve"> SEQ Figure \* ARABIC </w:instrText>
      </w:r>
      <w:r w:rsidRPr="00CB5A5E">
        <w:rPr>
          <w:sz w:val="22"/>
          <w:szCs w:val="22"/>
        </w:rPr>
        <w:fldChar w:fldCharType="separate"/>
      </w:r>
      <w:r w:rsidR="0074672C">
        <w:rPr>
          <w:noProof/>
          <w:sz w:val="22"/>
          <w:szCs w:val="22"/>
        </w:rPr>
        <w:t>9</w:t>
      </w:r>
      <w:r w:rsidRPr="00CB5A5E">
        <w:rPr>
          <w:sz w:val="22"/>
          <w:szCs w:val="22"/>
        </w:rPr>
        <w:fldChar w:fldCharType="end"/>
      </w:r>
      <w:bookmarkEnd w:id="100"/>
      <w:r w:rsidRPr="00CB5A5E">
        <w:rPr>
          <w:sz w:val="22"/>
          <w:szCs w:val="22"/>
        </w:rPr>
        <w:t>. Profit Distribution vs. Machine Investment</w:t>
      </w:r>
    </w:p>
    <w:p w14:paraId="5CFC57AA" w14:textId="77777777" w:rsidR="00CB5A5E" w:rsidRDefault="00CB5A5E" w:rsidP="00CB5A5E"/>
    <w:p w14:paraId="5F1C3C7F" w14:textId="0E995778" w:rsidR="00CB5A5E" w:rsidRPr="00CB5A5E" w:rsidRDefault="00D2661E" w:rsidP="00CB5A5E">
      <w:pPr>
        <w:rPr>
          <w:b/>
          <w:bCs/>
        </w:rPr>
      </w:pPr>
      <w:r>
        <w:rPr>
          <w:b/>
          <w:bCs/>
        </w:rPr>
        <w:t xml:space="preserve">Alignment between </w:t>
      </w:r>
      <w:r w:rsidR="00CB5A5E">
        <w:rPr>
          <w:b/>
          <w:bCs/>
        </w:rPr>
        <w:t>Risk Tolerance</w:t>
      </w:r>
      <w:r>
        <w:rPr>
          <w:b/>
          <w:bCs/>
        </w:rPr>
        <w:t xml:space="preserve"> and Decision-Making</w:t>
      </w:r>
    </w:p>
    <w:p w14:paraId="4014E7EC" w14:textId="2913C24C" w:rsidR="00CB5A5E" w:rsidRPr="00CB5A5E" w:rsidRDefault="00CB5A5E" w:rsidP="00CB5A5E">
      <w:r w:rsidRPr="00CB5A5E">
        <w:t xml:space="preserve">Understanding the </w:t>
      </w:r>
      <w:r>
        <w:t>risks</w:t>
      </w:r>
      <w:r w:rsidRPr="00CB5A5E">
        <w:t xml:space="preserve"> of these investment options is crucial for aligning decisions with the company's broader objectives and risk tolerance:</w:t>
      </w:r>
    </w:p>
    <w:p w14:paraId="7D122FE9" w14:textId="7C06072D" w:rsidR="00CB5A5E" w:rsidRPr="00CB5A5E" w:rsidRDefault="00CB5A5E" w:rsidP="00D81274">
      <w:pPr>
        <w:pStyle w:val="ListParagraph"/>
        <w:numPr>
          <w:ilvl w:val="0"/>
          <w:numId w:val="40"/>
        </w:numPr>
      </w:pPr>
      <w:r w:rsidRPr="00CB5A5E">
        <w:t>Risk-Averse: A risk-averse decision-maker would opt to invest in two machines, expected to yield a profit between $0.59 and $0.71 million at a 75% confidence level. This choice aligns with the company's st</w:t>
      </w:r>
      <w:r w:rsidR="003914B6">
        <w:t>eady growth strategy</w:t>
      </w:r>
      <w:r w:rsidRPr="00CB5A5E">
        <w:t xml:space="preserve"> and conservative culture, minimizing risk while pursuing profitability.</w:t>
      </w:r>
    </w:p>
    <w:p w14:paraId="3DC4EA71" w14:textId="77777777" w:rsidR="00CB5A5E" w:rsidRPr="00CB5A5E" w:rsidRDefault="00CB5A5E" w:rsidP="00D81274">
      <w:pPr>
        <w:pStyle w:val="ListParagraph"/>
        <w:numPr>
          <w:ilvl w:val="0"/>
          <w:numId w:val="40"/>
        </w:numPr>
      </w:pPr>
      <w:r w:rsidRPr="00CB5A5E">
        <w:t xml:space="preserve">Risk-Neutral: A risk-neutral decision-maker might choose to invest in three machines, which could generate an average profit of $0.85 million, with potential fluctuations between $0.5 million (worst case) and $1.0 million (best case) at a 75% confidence level. This option balances </w:t>
      </w:r>
      <w:r w:rsidRPr="00CB5A5E">
        <w:lastRenderedPageBreak/>
        <w:t>the potential for higher returns with moderate risk, aligning with a strategy focused on maximizing expected profit while managing uncertainty.</w:t>
      </w:r>
    </w:p>
    <w:p w14:paraId="4662C100" w14:textId="77777777" w:rsidR="00CB5A5E" w:rsidRPr="00CB5A5E" w:rsidRDefault="00CB5A5E" w:rsidP="00D81274">
      <w:pPr>
        <w:pStyle w:val="ListParagraph"/>
        <w:numPr>
          <w:ilvl w:val="0"/>
          <w:numId w:val="40"/>
        </w:numPr>
      </w:pPr>
      <w:r w:rsidRPr="00CB5A5E">
        <w:t>Risk-Taking: A more aggressive decision-maker might consider investing in four or five machines. These decisions could maximize profit if optimistic and robust market demand unfolds, but they also expose the company to significant losses if market conditions deteriorate. This strategy aligns with a growth-oriented approach, aiming to seize market opportunities despite the higher risk involved.</w:t>
      </w:r>
    </w:p>
    <w:p w14:paraId="5592EF92" w14:textId="77777777" w:rsidR="00CB5A5E" w:rsidRPr="00D2661E" w:rsidRDefault="00CB5A5E" w:rsidP="00CB5A5E">
      <w:pPr>
        <w:rPr>
          <w:b/>
          <w:bCs/>
        </w:rPr>
      </w:pPr>
      <w:r w:rsidRPr="00D2661E">
        <w:rPr>
          <w:b/>
          <w:bCs/>
        </w:rPr>
        <w:t>Lessons Learned</w:t>
      </w:r>
    </w:p>
    <w:p w14:paraId="00FD9453" w14:textId="4DD771E0" w:rsidR="00CB5A5E" w:rsidRDefault="00CB5A5E" w:rsidP="00D81274">
      <w:pPr>
        <w:pStyle w:val="ListParagraph"/>
        <w:numPr>
          <w:ilvl w:val="0"/>
          <w:numId w:val="41"/>
        </w:numPr>
      </w:pPr>
      <w:r>
        <w:t>By combining decision analysis with uncertainty assessment, companies gain a clearer picture of potential risks and rewards, helping them navigate complex investment decisions.</w:t>
      </w:r>
    </w:p>
    <w:p w14:paraId="1B2FF74A" w14:textId="596E92E7" w:rsidR="00CB5A5E" w:rsidRDefault="00CB5A5E" w:rsidP="00D81274">
      <w:pPr>
        <w:pStyle w:val="ListParagraph"/>
        <w:numPr>
          <w:ilvl w:val="0"/>
          <w:numId w:val="41"/>
        </w:numPr>
      </w:pPr>
      <w:r>
        <w:t>Leveraging confidence interval charts from simulations offers valuable insights for developing actionable plans. Understanding upper and lower boundaries helps identify potential risks and opportunities.</w:t>
      </w:r>
    </w:p>
    <w:p w14:paraId="1A2EA223" w14:textId="11A6FA27" w:rsidR="00CB5A5E" w:rsidRDefault="00CB5A5E" w:rsidP="00D81274">
      <w:pPr>
        <w:pStyle w:val="ListParagraph"/>
        <w:numPr>
          <w:ilvl w:val="0"/>
          <w:numId w:val="41"/>
        </w:numPr>
      </w:pPr>
      <w:r>
        <w:t>A well-defined strategy enables a company to translate these insights into decisions. This clear guidance ensures that decisions are data-driven and consistent with the company's long-term objectives and risk tolerance.</w:t>
      </w:r>
    </w:p>
    <w:p w14:paraId="17E3854F" w14:textId="77777777" w:rsidR="00D2661E" w:rsidRDefault="00D2661E" w:rsidP="00CB5A5E"/>
    <w:p w14:paraId="0A0EC5F0" w14:textId="05903555" w:rsidR="00CB5A5E" w:rsidRDefault="00CB5A5E" w:rsidP="00D2661E">
      <w:pPr>
        <w:pStyle w:val="Heading2"/>
      </w:pPr>
      <w:bookmarkStart w:id="101" w:name="_Toc191026948"/>
      <w:r>
        <w:t>Summary: Leverag</w:t>
      </w:r>
      <w:r w:rsidR="00D2661E">
        <w:t>e</w:t>
      </w:r>
      <w:r>
        <w:t xml:space="preserve"> Simulation to </w:t>
      </w:r>
      <w:r w:rsidR="00D2661E">
        <w:t>Enhance Decision-Making</w:t>
      </w:r>
      <w:bookmarkEnd w:id="101"/>
    </w:p>
    <w:bookmarkEnd w:id="76"/>
    <w:bookmarkEnd w:id="89"/>
    <w:bookmarkEnd w:id="98"/>
    <w:bookmarkEnd w:id="99"/>
    <w:p w14:paraId="1349EEC6" w14:textId="77777777" w:rsidR="00D2661E" w:rsidRDefault="00D2661E" w:rsidP="00D2661E">
      <w:r>
        <w:t>Stephen Covey once said, "If there's one thing that's certain in business, it's uncertainty." Mastering decision-making amid unpredictability is crucial for decision-makers. Simulation provides a powerful way to model and analyze potential outcomes in uncertain environments, turning uncertainty into a manageable part of strategic planning.</w:t>
      </w:r>
    </w:p>
    <w:p w14:paraId="1659D9A4" w14:textId="77777777" w:rsidR="00D2661E" w:rsidRDefault="00D2661E" w:rsidP="00D2661E">
      <w:r>
        <w:lastRenderedPageBreak/>
        <w:t>Scenario Analysis allows businesses to evaluate the impact of different market conditions through "what-if" scenarios. This method helps managers anticipate challenges and opportunities, assess the viability of strategies, and prepare for various future possibilities.</w:t>
      </w:r>
    </w:p>
    <w:p w14:paraId="0FFF3126" w14:textId="77777777" w:rsidR="00D2661E" w:rsidRDefault="00D2661E" w:rsidP="00D2661E">
      <w:r>
        <w:t>Monte Carlo Simulation takes this further by generating various possible outcomes based on probabilistic distributions. This method offers a detailed view of potential risks and rewards, enabling more informed decisions. For example, a firm considering machinery investments can use Monte Carlo simulations to estimate financial returns under various market conditions.</w:t>
      </w:r>
    </w:p>
    <w:p w14:paraId="4C0D425A" w14:textId="67F02179" w:rsidR="00D2661E" w:rsidRDefault="00D2661E" w:rsidP="00D2661E">
      <w:r>
        <w:t>Integrated Decision and Uncertainty Simulation combines controllable variables, like decision choices, with uncontrollable, uncertain market conditions. This approach provides a comprehensive understanding of how different decisions perform amid uncertainties, helping businesses refine their strategies for optimal profitability and minimal risk.</w:t>
      </w:r>
    </w:p>
    <w:p w14:paraId="1BF1BA16" w14:textId="77777777" w:rsidR="00E23B5F" w:rsidRDefault="00256D69" w:rsidP="00E23B5F">
      <w:pPr>
        <w:pStyle w:val="Heading1"/>
      </w:pPr>
      <w:r>
        <w:br w:type="page"/>
      </w:r>
      <w:bookmarkStart w:id="102" w:name="_Toc191026949"/>
      <w:r w:rsidR="00E23B5F" w:rsidRPr="00CD052C">
        <w:lastRenderedPageBreak/>
        <w:t>Integrate</w:t>
      </w:r>
      <w:r w:rsidR="00E23B5F">
        <w:t xml:space="preserve"> Data Analytics with Human Judgement for Enhanced Decision-Making</w:t>
      </w:r>
      <w:bookmarkEnd w:id="102"/>
      <w:r w:rsidR="00E23B5F">
        <w:t xml:space="preserve"> </w:t>
      </w:r>
    </w:p>
    <w:p w14:paraId="237CABEB" w14:textId="77777777" w:rsidR="00E23B5F" w:rsidRDefault="00E23B5F" w:rsidP="00E23B5F">
      <w:r>
        <w:t>Advanced data analytics is now a powerful catalyst for innovation across industries, governments, and education. However, incorporating data analytics into business operations</w:t>
      </w:r>
      <w:r w:rsidRPr="001F02BE">
        <w:t xml:space="preserve"> is complex and challenging. According to a Fortune article, experts estimate that 60% to 85% of such initiatives fail. </w:t>
      </w:r>
      <w:r>
        <w:t xml:space="preserve">Business decision-makers often find it challenging to apply abstract data models practically; instead, they need actionable insights to enhance their decision-making. </w:t>
      </w:r>
    </w:p>
    <w:p w14:paraId="00DC2C9E" w14:textId="77777777" w:rsidR="00E23B5F" w:rsidRPr="001F02BE" w:rsidRDefault="00E23B5F" w:rsidP="00E23B5F">
      <w:r w:rsidRPr="001F02BE">
        <w:t xml:space="preserve">This underscores the need for </w:t>
      </w:r>
      <w:r>
        <w:t>a clear vision for integrating reliable data analytics into decision-making processes before committing to costly data management systems and complex models.</w:t>
      </w:r>
    </w:p>
    <w:p w14:paraId="19A85F80" w14:textId="77777777" w:rsidR="00E23B5F" w:rsidRDefault="00E23B5F" w:rsidP="00E23B5F">
      <w:r>
        <w:t>While the integration is business-specific, a framework can guide an organization to strategize the integration process and prioritize its digital transformation plan, such as infrastructure, personnel, and business workflow.</w:t>
      </w:r>
    </w:p>
    <w:p w14:paraId="6B646A85" w14:textId="77777777" w:rsidR="00E23B5F" w:rsidRDefault="00E23B5F" w:rsidP="00E23B5F">
      <w:r>
        <w:t xml:space="preserve">First, Let’s review some business examples to gain tangible insights into data-driven business models. </w:t>
      </w:r>
    </w:p>
    <w:p w14:paraId="06575E6D" w14:textId="77777777" w:rsidR="00E23B5F" w:rsidRDefault="00E23B5F" w:rsidP="00E23B5F">
      <w:pPr>
        <w:pStyle w:val="Heading3"/>
      </w:pPr>
      <w:r>
        <w:t>Data Applications in Business Decisions – Success and Failure</w:t>
      </w:r>
    </w:p>
    <w:p w14:paraId="60CE3F42" w14:textId="77777777" w:rsidR="00E23B5F" w:rsidRDefault="00E23B5F" w:rsidP="00E23B5F">
      <w:r>
        <w:t>A traditional data-driven application in business is creating dashboards for informed decision-making. Business analysts collect, extract, and visualize metrics in user-friendly formats, providing decision-makers with reliable information aligned with their objectives. An insightful dashboard reports progress, trends, and key performance indicators (KPIs) predictions. However, business leaders also learned that excessive data misaligned with strategic goals can overwhelm their decision-making, leading to indecision.</w:t>
      </w:r>
    </w:p>
    <w:p w14:paraId="635DA1A3" w14:textId="77777777" w:rsidR="00E23B5F" w:rsidRDefault="00E23B5F" w:rsidP="00E23B5F">
      <w:r>
        <w:t xml:space="preserve">Advanced data analytics applications have transformed the e-commerce, media, and travel industries. For example, optimized marketing in e-commerce, personalized video recommendations in media, and </w:t>
      </w:r>
      <w:r>
        <w:lastRenderedPageBreak/>
        <w:t>dynamic pricing in travel highlight how analytics can handle complex situations involving multiple stakeholders. These applications demonstrate the power of statistical analysis in identifying correlations and trends, allowing businesses to offer customized services based on similar customer preferences and needs.</w:t>
      </w:r>
    </w:p>
    <w:p w14:paraId="1A0EE22D" w14:textId="77777777" w:rsidR="00E23B5F" w:rsidRDefault="00E23B5F" w:rsidP="00E23B5F">
      <w:pPr>
        <w:pStyle w:val="Heading4"/>
      </w:pPr>
      <w:r>
        <w:t>Amazon.com</w:t>
      </w:r>
    </w:p>
    <w:p w14:paraId="4807AAC5" w14:textId="77777777" w:rsidR="00E23B5F" w:rsidRPr="00E6167B" w:rsidRDefault="00E23B5F" w:rsidP="00E23B5F">
      <w:r w:rsidRPr="00E6167B">
        <w:t>Amazon.com has revolutionized online shopping with its vast global reach, diverse product range, and s</w:t>
      </w:r>
      <w:r>
        <w:t>olid</w:t>
      </w:r>
      <w:r w:rsidRPr="00E6167B">
        <w:t xml:space="preserve"> customer base. Headquartered in Seattle and operating in over 20 countries, Amazon customizes its websites to local preferences and currencies, ensuring a seamless shopping experience.</w:t>
      </w:r>
    </w:p>
    <w:p w14:paraId="692F19E9" w14:textId="77777777" w:rsidR="00E23B5F" w:rsidRPr="00E6167B" w:rsidRDefault="00E23B5F" w:rsidP="00E23B5F">
      <w:r w:rsidRPr="00761A03">
        <w:t xml:space="preserve">Amazon’s data-driven models are </w:t>
      </w:r>
      <w:r>
        <w:t>critical</w:t>
      </w:r>
      <w:r w:rsidRPr="00761A03">
        <w:t xml:space="preserve"> to its operational success, guiding decisions from product recommendations to supply chain management and cloud services. </w:t>
      </w:r>
      <w:r>
        <w:t>Here are examples of h</w:t>
      </w:r>
      <w:r w:rsidRPr="00761A03">
        <w:t>ow Amazon uses data-driven model</w:t>
      </w:r>
      <w:r>
        <w:t>s:</w:t>
      </w:r>
    </w:p>
    <w:p w14:paraId="4F01F163" w14:textId="77777777" w:rsidR="00E23B5F" w:rsidRPr="00E6167B" w:rsidRDefault="00E23B5F" w:rsidP="00D81274">
      <w:pPr>
        <w:pStyle w:val="ListParagraph"/>
        <w:numPr>
          <w:ilvl w:val="0"/>
          <w:numId w:val="9"/>
        </w:numPr>
      </w:pPr>
      <w:r w:rsidRPr="00E6167B">
        <w:t xml:space="preserve">Recommendation Engine: Amazon's recommendation engine is </w:t>
      </w:r>
      <w:r>
        <w:t>critical to</w:t>
      </w:r>
      <w:r w:rsidRPr="00E6167B">
        <w:t xml:space="preserve"> its success. It analyzes customer data, such as past purchases and interactions, to offer personalized product suggestions. Using advanced algorithms like A9, Amazon models user-product relationships and </w:t>
      </w:r>
      <w:r>
        <w:t>accurately predicts preferences</w:t>
      </w:r>
      <w:r w:rsidRPr="00E6167B">
        <w:t>. This approach drives up to 35% of Amazon’s sales. Smaller businesses can benefit by adopting similar recommendation systems to enhance sales and customer engagement.</w:t>
      </w:r>
    </w:p>
    <w:p w14:paraId="18963277" w14:textId="77777777" w:rsidR="00E23B5F" w:rsidRPr="00E6167B" w:rsidRDefault="00E23B5F" w:rsidP="00D81274">
      <w:pPr>
        <w:pStyle w:val="ListParagraph"/>
        <w:numPr>
          <w:ilvl w:val="0"/>
          <w:numId w:val="9"/>
        </w:numPr>
      </w:pPr>
      <w:r w:rsidRPr="00E6167B">
        <w:t>Supply Chain Innovation: Amazon's supply chain is a model of efficiency and innovation. The company uses advanced planning tools like o9 Solutions' Integrated Business Planning (IBP) to optimize operations. Investments in a global warehousing network and a private fleet—including sustainable options like electric vehicles—improve delivery speed and environmental responsibility.</w:t>
      </w:r>
    </w:p>
    <w:p w14:paraId="551ACE5B" w14:textId="77777777" w:rsidR="00E23B5F" w:rsidRPr="00E6167B" w:rsidRDefault="00E23B5F" w:rsidP="00E23B5F">
      <w:r w:rsidRPr="00E6167B">
        <w:t xml:space="preserve">Takeaway: Amazon’s success stems from its </w:t>
      </w:r>
      <w:r>
        <w:t>time-refined data models, continuously improving</w:t>
      </w:r>
      <w:r w:rsidRPr="00E6167B">
        <w:t xml:space="preserve"> customer satisfaction and operational efficiency.</w:t>
      </w:r>
    </w:p>
    <w:p w14:paraId="006B4BB5" w14:textId="77777777" w:rsidR="00E23B5F" w:rsidRPr="00E6167B" w:rsidRDefault="00E23B5F" w:rsidP="00E23B5F">
      <w:pPr>
        <w:pStyle w:val="Heading4"/>
      </w:pPr>
      <w:r w:rsidRPr="00E6167B">
        <w:lastRenderedPageBreak/>
        <w:t>Netflix</w:t>
      </w:r>
    </w:p>
    <w:p w14:paraId="2F441FA5" w14:textId="77777777" w:rsidR="00E23B5F" w:rsidRPr="00E6167B" w:rsidRDefault="00E23B5F" w:rsidP="00E23B5F">
      <w:r w:rsidRPr="00E6167B">
        <w:t>Netflix, a leading streaming service, has experienced substantial growth by expanding to over 190 countries. Its data-driven approach enables the company to tailor content to individual preferences and maintain high subscriber engagement.</w:t>
      </w:r>
    </w:p>
    <w:p w14:paraId="637EBBF5" w14:textId="77777777" w:rsidR="00E23B5F" w:rsidRPr="00E6167B" w:rsidRDefault="00E23B5F" w:rsidP="00E23B5F">
      <w:r w:rsidRPr="00E6167B">
        <w:t xml:space="preserve">Netflix’s </w:t>
      </w:r>
      <w:r>
        <w:t>Trial-and-Error</w:t>
      </w:r>
      <w:r w:rsidRPr="00E6167B">
        <w:t xml:space="preserve"> Approach</w:t>
      </w:r>
      <w:r>
        <w:t xml:space="preserve"> refers to the company’s data-driven, interactive decision-making process in content creation, user experience, and title recommendations. For example:</w:t>
      </w:r>
    </w:p>
    <w:p w14:paraId="0FFD8222" w14:textId="77777777" w:rsidR="00E23B5F" w:rsidRPr="00E6167B" w:rsidRDefault="00E23B5F" w:rsidP="00D81274">
      <w:pPr>
        <w:pStyle w:val="ListParagraph"/>
        <w:numPr>
          <w:ilvl w:val="0"/>
          <w:numId w:val="10"/>
        </w:numPr>
      </w:pPr>
      <w:r w:rsidRPr="00E6167B">
        <w:t>Personalized Content: Netflix leverages detailed user data—such as viewing habits and feedback—to deliver customized content recommendations. This personalization boosts user satisfaction and fosters subscriber loyalty. Data also guides Netflix’s content acquisition and production strategies, helping the company identify trends and localize content for different regions.</w:t>
      </w:r>
    </w:p>
    <w:p w14:paraId="0B75FF2A" w14:textId="77777777" w:rsidR="00E23B5F" w:rsidRPr="00E6167B" w:rsidRDefault="00E23B5F" w:rsidP="00D81274">
      <w:pPr>
        <w:pStyle w:val="ListParagraph"/>
        <w:numPr>
          <w:ilvl w:val="0"/>
          <w:numId w:val="10"/>
        </w:numPr>
      </w:pPr>
      <w:r w:rsidRPr="00E6167B">
        <w:t xml:space="preserve">A/B Testing: Netflix continuously improves its content recommendations through A/B testing. </w:t>
      </w:r>
      <w:r>
        <w:t>Netflix identifies which variations perform best by evaluating different promotional materials and content versions</w:t>
      </w:r>
      <w:r w:rsidRPr="00E6167B">
        <w:t>. Metrics like click-through rates and time spent on content inform these refinements, ensuring recommendations are both accurate and engaging.</w:t>
      </w:r>
    </w:p>
    <w:p w14:paraId="48CA9332" w14:textId="77777777" w:rsidR="00E23B5F" w:rsidRPr="00E6167B" w:rsidRDefault="00E23B5F" w:rsidP="00E23B5F">
      <w:r w:rsidRPr="00E6167B">
        <w:t>Takeaway: Netflix enhances user experience, strengthens subscriber loyalty, and fuels growth</w:t>
      </w:r>
      <w:r w:rsidRPr="00A42460">
        <w:t xml:space="preserve"> </w:t>
      </w:r>
      <w:r>
        <w:t>b</w:t>
      </w:r>
      <w:r w:rsidRPr="00E6167B">
        <w:t xml:space="preserve">y consistently </w:t>
      </w:r>
      <w:r>
        <w:t>testing user preferences and analyzing feedback</w:t>
      </w:r>
      <w:r w:rsidRPr="00E6167B">
        <w:t>.</w:t>
      </w:r>
    </w:p>
    <w:p w14:paraId="1E7DD40F" w14:textId="77777777" w:rsidR="00E23B5F" w:rsidRDefault="00E23B5F" w:rsidP="00E23B5F">
      <w:pPr>
        <w:pStyle w:val="Heading3"/>
      </w:pPr>
      <w:r>
        <w:t xml:space="preserve">The Fall of </w:t>
      </w:r>
      <w:proofErr w:type="spellStart"/>
      <w:r>
        <w:t>iBuying</w:t>
      </w:r>
      <w:proofErr w:type="spellEnd"/>
      <w:r>
        <w:t xml:space="preserve"> Business</w:t>
      </w:r>
    </w:p>
    <w:p w14:paraId="5C3D16B1" w14:textId="77777777" w:rsidR="00E23B5F" w:rsidRDefault="00E23B5F" w:rsidP="00E23B5F">
      <w:r>
        <w:t xml:space="preserve">Zillow's $6 billion </w:t>
      </w:r>
      <w:proofErr w:type="spellStart"/>
      <w:r>
        <w:t>iBuying</w:t>
      </w:r>
      <w:proofErr w:type="spellEnd"/>
      <w:r>
        <w:t xml:space="preserve"> venture, which concluded in 2022, exemplifies the challenges of translating data algorithms into a successful business. Headquartered in Seattle, Zillow Group provides comprehensive real estate information powered by a database of approximately 110 million homes in the U.S. The Zestimate tool, a key feature of Zillow.com, estimates property market values using a proprietary algorithm that integrates various data sources. Zillow claims a median error rate of 3.2% for on-market homes and 7.52% for off-market homes.</w:t>
      </w:r>
    </w:p>
    <w:p w14:paraId="2E9C7CF0" w14:textId="77777777" w:rsidR="00E23B5F" w:rsidRDefault="00E23B5F" w:rsidP="00E23B5F">
      <w:r>
        <w:lastRenderedPageBreak/>
        <w:t xml:space="preserve">In 2019, Zillow launched Zillow Offers to streamline the home-selling process, allowing sellers to receive cash offers by answering online questions and uploading photos. This service relied on the robust Zestimate algorithm and with limited human oversight. Despite initial success and rapid growth—doubling home purchases each quarter in 2021—the venture faced a severe setback in November 2021 when Zillow announced the closure of Zillow Offers, incurring over $500 million in losses. Similarly, </w:t>
      </w:r>
      <w:proofErr w:type="spellStart"/>
      <w:r>
        <w:t>Opendoor</w:t>
      </w:r>
      <w:proofErr w:type="spellEnd"/>
      <w:r>
        <w:t>, Zillow's main competitor, also faced notable losses in 2022, with its inventory of unsold homes growing to nearly 13,000.</w:t>
      </w:r>
    </w:p>
    <w:p w14:paraId="4471C799" w14:textId="77777777" w:rsidR="00E23B5F" w:rsidRDefault="00E23B5F" w:rsidP="00E23B5F">
      <w:r>
        <w:t xml:space="preserve">The </w:t>
      </w:r>
      <w:proofErr w:type="spellStart"/>
      <w:r>
        <w:t>iBuying</w:t>
      </w:r>
      <w:proofErr w:type="spellEnd"/>
      <w:r>
        <w:t xml:space="preserve"> venture highlights the difficulties of relying on algorithm-based decision-making in the real estate sector, where human factors and market dynamics also play significant roles. Zillow Group's CEO, Rich Barton, acknowledged that the pricing model struggled to adapt to market shifts, leading to substantial losses. The COVID-19 pandemic exacerbated these issues, causing labor and supply shortages that impeded property turnover.</w:t>
      </w:r>
    </w:p>
    <w:p w14:paraId="5C030C33" w14:textId="77777777" w:rsidR="00E23B5F" w:rsidRDefault="00E23B5F" w:rsidP="00E23B5F">
      <w:pPr>
        <w:pStyle w:val="Heading3"/>
      </w:pPr>
      <w:r>
        <w:t>Lessons Learned from Amazon, Netflix, and Zillow Offers Comparison</w:t>
      </w:r>
    </w:p>
    <w:p w14:paraId="7BF7F5A3" w14:textId="77777777" w:rsidR="00E23B5F" w:rsidRDefault="00E23B5F" w:rsidP="00E23B5F">
      <w:r>
        <w:t>These tech-savvy businesses rely on powerful algorithms to make customized product offer decisions to meet individual customers’ needs. However, their customers interact with data-driven businesses differently and respond to the offers differently.</w:t>
      </w:r>
    </w:p>
    <w:p w14:paraId="72976ABE" w14:textId="77777777" w:rsidR="00E23B5F" w:rsidRPr="00F263EF" w:rsidRDefault="00E23B5F" w:rsidP="00E23B5F">
      <w:pPr>
        <w:pStyle w:val="Heading4"/>
      </w:pPr>
      <w:r>
        <w:t>Data Model Challenges</w:t>
      </w:r>
    </w:p>
    <w:p w14:paraId="35E6F708" w14:textId="77777777" w:rsidR="00E23B5F" w:rsidRDefault="00E23B5F" w:rsidP="00E23B5F">
      <w:r>
        <w:t xml:space="preserve">The primary challenge of the house pricing model lies in integrating location-sensitive factors into its prediction algorithm.  Local market conditions significantly influence home prices, which can vary widely. Real estate experts emphasize the intricate nature of the housing market, particularly the difficulties in forecasting local home prices accurately. This variability requires </w:t>
      </w:r>
      <w:proofErr w:type="spellStart"/>
      <w:r>
        <w:t>iBuying</w:t>
      </w:r>
      <w:proofErr w:type="spellEnd"/>
      <w:r>
        <w:t xml:space="preserve"> service providers to develop and continually refine multiple localized pricing models, which can be costly and complex for national expansion.</w:t>
      </w:r>
    </w:p>
    <w:p w14:paraId="789FB90E" w14:textId="77777777" w:rsidR="00E23B5F" w:rsidRDefault="00E23B5F" w:rsidP="00E23B5F">
      <w:proofErr w:type="spellStart"/>
      <w:r>
        <w:lastRenderedPageBreak/>
        <w:t>iBuying</w:t>
      </w:r>
      <w:proofErr w:type="spellEnd"/>
      <w:r>
        <w:t xml:space="preserve"> companies also face challenges compared to e-commerce and streaming platforms when facing delayed feedback to refine their pricing models. Unlike e-commerce and streaming, which use immediate user preference data to calibrate algorithms, </w:t>
      </w:r>
      <w:proofErr w:type="spellStart"/>
      <w:r>
        <w:t>iBuying</w:t>
      </w:r>
      <w:proofErr w:type="spellEnd"/>
      <w:r>
        <w:t xml:space="preserve"> involves a lengthy process of buying, renovating, and reselling homes, often taking several months. For instance, during the 2021 home price surge, Zillow found it too slow to receive time-sensitive purchasing data to refine its predictive models.</w:t>
      </w:r>
    </w:p>
    <w:p w14:paraId="228B5569" w14:textId="77777777" w:rsidR="00E23B5F" w:rsidRDefault="00E23B5F" w:rsidP="00E23B5F">
      <w:r>
        <w:t xml:space="preserve">Key takeaway: While data models trained on historical data can identify patterns and correlations, they often need local dynamics and real-time feedback to refine their accuracy. </w:t>
      </w:r>
    </w:p>
    <w:p w14:paraId="5658526B" w14:textId="77777777" w:rsidR="00E23B5F" w:rsidRPr="003C00FE" w:rsidRDefault="00E23B5F" w:rsidP="00E23B5F">
      <w:pPr>
        <w:pStyle w:val="Heading4"/>
      </w:pPr>
      <w:r>
        <w:t>Human Oversight</w:t>
      </w:r>
      <w:r w:rsidRPr="003C00FE">
        <w:t xml:space="preserve"> </w:t>
      </w:r>
      <w:r>
        <w:t xml:space="preserve">Over </w:t>
      </w:r>
      <w:r w:rsidRPr="003C00FE">
        <w:t xml:space="preserve">Data-Driven </w:t>
      </w:r>
      <w:r>
        <w:t>Process</w:t>
      </w:r>
    </w:p>
    <w:p w14:paraId="155EB255" w14:textId="77777777" w:rsidR="00E23B5F" w:rsidRDefault="00E23B5F" w:rsidP="00E23B5F">
      <w:r>
        <w:t xml:space="preserve">The </w:t>
      </w:r>
      <w:proofErr w:type="spellStart"/>
      <w:r>
        <w:t>iBuying</w:t>
      </w:r>
      <w:proofErr w:type="spellEnd"/>
      <w:r>
        <w:t xml:space="preserve"> case provides a compelling lesson on the importance of human expertise in overseeing data-driven processes. While technology can significantly enhance efficiency, human judgment still plays a critical role in decision-making. Zillow's experience highlights this issue: despite employing a team of pricing analysts, the company lacked a transparent process to incorporate human expert pricing insights into its data-driven decisions consistently. For instance, Zillow added automatic price overlays to adjust inaccurate predictions during the 2021 home price surge. The company would have leveraged human expertise to improve model accuracy had Zillow implemented a workflow to integrate human oversight into the data-driven process.</w:t>
      </w:r>
    </w:p>
    <w:p w14:paraId="6CEC2A16" w14:textId="77777777" w:rsidR="00E23B5F" w:rsidRDefault="00E23B5F" w:rsidP="00E23B5F">
      <w:r>
        <w:t xml:space="preserve">In contrast, Amazon exemplifies the effective integration of human judgment and data analytics. Thousands of product managers oversee the development of Amazon's extensive product range, including their marketing and pricing. They collaborate with cross-functional teams to develop products, use market research to prioritize features that meet customer needs, and conduct competitive analyses to optimize pricing strategies. This approach includes dynamic pricing and promotional tactics designed to maximize revenue while maintaining competitiveness. Through strategic planning and execution, </w:t>
      </w:r>
      <w:r>
        <w:lastRenderedPageBreak/>
        <w:t>Amazon’s product managers play a crucial role in the company's success in the highly competitive e-commerce landscape.</w:t>
      </w:r>
    </w:p>
    <w:p w14:paraId="3B178B93" w14:textId="77777777" w:rsidR="00E23B5F" w:rsidRDefault="00E23B5F" w:rsidP="00E23B5F">
      <w:pPr>
        <w:rPr>
          <w:rFonts w:cstheme="minorHAnsi"/>
        </w:rPr>
      </w:pPr>
      <w:r>
        <w:t xml:space="preserve">Key Takeaway: Businesses must establish transparent decision-making processes that integrate machine-generated recommendations with decisive human adjustments. This balanced approach leverages the strengths of both technology and human expertise, leading to more robust and adaptable business decisions. </w:t>
      </w:r>
    </w:p>
    <w:p w14:paraId="11524A5E" w14:textId="77777777" w:rsidR="00E23B5F" w:rsidRPr="009C3CBA" w:rsidRDefault="00E23B5F" w:rsidP="00E23B5F">
      <w:pPr>
        <w:pStyle w:val="Heading4"/>
      </w:pPr>
      <w:r w:rsidRPr="009C3CBA">
        <w:t>Customer Psychological Behavior</w:t>
      </w:r>
    </w:p>
    <w:p w14:paraId="1CFBA1F6" w14:textId="77777777" w:rsidR="00E23B5F" w:rsidRPr="00867B81" w:rsidRDefault="00E23B5F" w:rsidP="00E23B5F">
      <w:r>
        <w:t>In e</w:t>
      </w:r>
      <w:r w:rsidRPr="00867B81">
        <w:t>-commerce and streaming services</w:t>
      </w:r>
      <w:r>
        <w:t xml:space="preserve">, </w:t>
      </w:r>
      <w:r w:rsidRPr="00867B81">
        <w:t xml:space="preserve">companies and customers </w:t>
      </w:r>
      <w:r>
        <w:t>interact mutually. Recommendation models provide consumers with various personalized options to select from, and customer choices, in return, help the models understand</w:t>
      </w:r>
      <w:r w:rsidRPr="00867B81">
        <w:t xml:space="preserve"> personal interests and preferences. By </w:t>
      </w:r>
      <w:r>
        <w:t xml:space="preserve">continuously </w:t>
      </w:r>
      <w:r w:rsidRPr="00867B81">
        <w:t>catering to these needs, online platforms can achieve business goals while satisfying customers.</w:t>
      </w:r>
    </w:p>
    <w:p w14:paraId="7C811B7A" w14:textId="77777777" w:rsidR="00E23B5F" w:rsidRPr="00273737" w:rsidRDefault="00E23B5F" w:rsidP="00E23B5F">
      <w:r w:rsidRPr="00273737">
        <w:t>Zillow Offers</w:t>
      </w:r>
      <w:r>
        <w:t>, however, approaches its customers through more or less a one-way communication channel</w:t>
      </w:r>
      <w:r w:rsidRPr="00273737">
        <w:t>. Their algorithm generates a single purchase price with limited supporting information. This lack of engagement reduces opportunities to demonstrate that Zillow's offer is fair and competitive based on market conditions.</w:t>
      </w:r>
      <w:r>
        <w:t xml:space="preserve"> </w:t>
      </w:r>
    </w:p>
    <w:p w14:paraId="0008119C" w14:textId="77777777" w:rsidR="00E23B5F" w:rsidRDefault="00E23B5F" w:rsidP="00E23B5F">
      <w:r w:rsidRPr="00273737">
        <w:t xml:space="preserve">Human nature tends to be risk-averse; people </w:t>
      </w:r>
      <w:r>
        <w:t>hesitate to decide when uncertain about their options. R</w:t>
      </w:r>
      <w:r w:rsidRPr="00273737">
        <w:t xml:space="preserve">eal estate </w:t>
      </w:r>
      <w:r>
        <w:t xml:space="preserve">agents play an educational role in </w:t>
      </w:r>
      <w:r w:rsidRPr="00273737">
        <w:t xml:space="preserve">guiding sellers through comparable market values </w:t>
      </w:r>
      <w:r>
        <w:t xml:space="preserve">and deciding on </w:t>
      </w:r>
      <w:r w:rsidRPr="00273737">
        <w:t>offe</w:t>
      </w:r>
      <w:r>
        <w:t>rs</w:t>
      </w:r>
      <w:r w:rsidRPr="00273737">
        <w:t>.</w:t>
      </w:r>
      <w:r>
        <w:t xml:space="preserve"> </w:t>
      </w:r>
      <w:r w:rsidRPr="00273737">
        <w:t xml:space="preserve">Zillow Offers' limited information exchange diminishes sellers' confidence in making informed decisions. Consequently, only those who believe Zillow's offer exceeds potential market value </w:t>
      </w:r>
      <w:r>
        <w:t>will likely</w:t>
      </w:r>
      <w:r w:rsidRPr="00273737">
        <w:t xml:space="preserve"> proceed with the sale.</w:t>
      </w:r>
      <w:r w:rsidRPr="0014276C">
        <w:t xml:space="preserve"> The reality proved this</w:t>
      </w:r>
      <w:r>
        <w:t>:</w:t>
      </w:r>
      <w:r w:rsidRPr="0014276C">
        <w:t xml:space="preserve"> Zillow claimed that only 10% of people who asked for a Zillow offer and eventually sold their home ended up selling it to Zillow. On average, Zillow overpaid 7% for these homes.</w:t>
      </w:r>
    </w:p>
    <w:p w14:paraId="50982B91" w14:textId="77777777" w:rsidR="00E23B5F" w:rsidRDefault="00E23B5F" w:rsidP="00E23B5F">
      <w:r w:rsidRPr="001C78C0">
        <w:lastRenderedPageBreak/>
        <w:t xml:space="preserve">Key Takeaway: Businesses must consider customers’ psychological behaviors in their data-driven models. </w:t>
      </w:r>
      <w:r>
        <w:t>Being inherently risk-averse, customers</w:t>
      </w:r>
      <w:r w:rsidRPr="001C78C0">
        <w:t xml:space="preserve"> often make intuitive decisions that differ from the expectations of risk-neutral algorithms.</w:t>
      </w:r>
    </w:p>
    <w:p w14:paraId="78CC45B8" w14:textId="77777777" w:rsidR="00E23B5F" w:rsidRPr="00A218DA" w:rsidRDefault="00E23B5F" w:rsidP="00E23B5F">
      <w:pPr>
        <w:pStyle w:val="Heading4"/>
      </w:pPr>
      <w:r>
        <w:t xml:space="preserve">Weak Links on a </w:t>
      </w:r>
      <w:r w:rsidRPr="00D77786">
        <w:t xml:space="preserve">Value Chain </w:t>
      </w:r>
    </w:p>
    <w:p w14:paraId="4F9BAED6" w14:textId="77777777" w:rsidR="00E23B5F" w:rsidRPr="00A218DA" w:rsidRDefault="00E23B5F" w:rsidP="00E23B5F">
      <w:pPr>
        <w:rPr>
          <w:rFonts w:cstheme="minorHAnsi"/>
        </w:rPr>
      </w:pPr>
      <w:r w:rsidRPr="00A218DA">
        <w:rPr>
          <w:rFonts w:cstheme="minorHAnsi"/>
        </w:rPr>
        <w:t xml:space="preserve">The home flipping business operates within a complex value chain, where each step—from purchasing properties at competitive prices to renovating and selling—is critical to success. </w:t>
      </w:r>
      <w:r w:rsidRPr="000F47CB">
        <w:rPr>
          <w:rFonts w:cstheme="minorHAnsi"/>
        </w:rPr>
        <w:t xml:space="preserve">According to realtor.com, selling a home </w:t>
      </w:r>
      <w:r>
        <w:rPr>
          <w:rFonts w:cstheme="minorHAnsi"/>
        </w:rPr>
        <w:t>generally</w:t>
      </w:r>
      <w:r w:rsidRPr="000F47CB">
        <w:rPr>
          <w:rFonts w:cstheme="minorHAnsi"/>
        </w:rPr>
        <w:t xml:space="preserve"> involves </w:t>
      </w:r>
      <w:r>
        <w:rPr>
          <w:rFonts w:cstheme="minorHAnsi"/>
        </w:rPr>
        <w:t xml:space="preserve">ten </w:t>
      </w:r>
      <w:r w:rsidRPr="000F47CB">
        <w:rPr>
          <w:rFonts w:cstheme="minorHAnsi"/>
        </w:rPr>
        <w:t>steps, highlighting this complexity.</w:t>
      </w:r>
    </w:p>
    <w:p w14:paraId="228F1F7C" w14:textId="77777777" w:rsidR="00E23B5F" w:rsidRPr="00A218DA" w:rsidRDefault="00E23B5F" w:rsidP="00E23B5F">
      <w:pPr>
        <w:rPr>
          <w:rFonts w:cstheme="minorHAnsi"/>
        </w:rPr>
      </w:pPr>
      <w:r w:rsidRPr="00A218DA">
        <w:rPr>
          <w:rFonts w:cstheme="minorHAnsi"/>
        </w:rPr>
        <w:t xml:space="preserve">Zillow, known for its accurate home-price prediction algorithms, faced challenges in other </w:t>
      </w:r>
      <w:r>
        <w:rPr>
          <w:rFonts w:cstheme="minorHAnsi"/>
        </w:rPr>
        <w:t>value chain areas</w:t>
      </w:r>
      <w:r w:rsidRPr="00A218DA">
        <w:rPr>
          <w:rFonts w:cstheme="minorHAnsi"/>
        </w:rPr>
        <w:t xml:space="preserve">. While they streamlined </w:t>
      </w:r>
      <w:r>
        <w:rPr>
          <w:rFonts w:cstheme="minorHAnsi"/>
        </w:rPr>
        <w:t>some</w:t>
      </w:r>
      <w:r w:rsidRPr="00A218DA">
        <w:rPr>
          <w:rFonts w:cstheme="minorHAnsi"/>
        </w:rPr>
        <w:t xml:space="preserve"> steps, difficulties in finding reliable contractors and securing materials, exacerbated by labor and supply shortages across the industry, led to longer holding periods and higher costs, ultimately </w:t>
      </w:r>
      <w:r>
        <w:rPr>
          <w:rFonts w:cstheme="minorHAnsi"/>
        </w:rPr>
        <w:t xml:space="preserve">lowering its </w:t>
      </w:r>
      <w:r w:rsidRPr="00A218DA">
        <w:rPr>
          <w:rFonts w:cstheme="minorHAnsi"/>
        </w:rPr>
        <w:t>profitability.</w:t>
      </w:r>
    </w:p>
    <w:p w14:paraId="67B7A66B" w14:textId="77777777" w:rsidR="00E23B5F" w:rsidRPr="00A218DA" w:rsidRDefault="00E23B5F" w:rsidP="00E23B5F">
      <w:pPr>
        <w:rPr>
          <w:rFonts w:cstheme="minorHAnsi"/>
        </w:rPr>
      </w:pPr>
      <w:r w:rsidRPr="00A218DA">
        <w:rPr>
          <w:rFonts w:cstheme="minorHAnsi"/>
        </w:rPr>
        <w:t xml:space="preserve">Zillow's experience highlights the importance of managing every aspect of the value chain in a data-driven business. While innovative technology, such as price prediction algorithms, is essential, </w:t>
      </w:r>
      <w:r>
        <w:rPr>
          <w:rFonts w:cstheme="minorHAnsi"/>
        </w:rPr>
        <w:t>managing contractors, materials, and operations equally impacts</w:t>
      </w:r>
      <w:r w:rsidRPr="00A218DA">
        <w:rPr>
          <w:rFonts w:cstheme="minorHAnsi"/>
        </w:rPr>
        <w:t xml:space="preserve"> a profitable business.</w:t>
      </w:r>
    </w:p>
    <w:p w14:paraId="0B7856ED" w14:textId="77777777" w:rsidR="00E23B5F" w:rsidRDefault="00E23B5F" w:rsidP="00E23B5F">
      <w:pPr>
        <w:rPr>
          <w:rFonts w:cstheme="minorHAnsi"/>
        </w:rPr>
      </w:pPr>
      <w:r w:rsidRPr="00A218DA">
        <w:rPr>
          <w:rFonts w:cstheme="minorHAnsi"/>
        </w:rPr>
        <w:t xml:space="preserve">Key Takeaway: A business must ensure that it </w:t>
      </w:r>
      <w:r>
        <w:rPr>
          <w:rFonts w:cstheme="minorHAnsi"/>
        </w:rPr>
        <w:t>can</w:t>
      </w:r>
      <w:r w:rsidRPr="00A218DA">
        <w:rPr>
          <w:rFonts w:cstheme="minorHAnsi"/>
        </w:rPr>
        <w:t xml:space="preserve"> efficiently manage each critical element of the value chain </w:t>
      </w:r>
      <w:r>
        <w:rPr>
          <w:rFonts w:cstheme="minorHAnsi"/>
        </w:rPr>
        <w:t xml:space="preserve">around </w:t>
      </w:r>
      <w:r w:rsidRPr="00A218DA">
        <w:rPr>
          <w:rFonts w:cstheme="minorHAnsi"/>
        </w:rPr>
        <w:t>its data-driven model</w:t>
      </w:r>
      <w:r>
        <w:rPr>
          <w:rFonts w:cstheme="minorHAnsi"/>
        </w:rPr>
        <w:t>, leaving no broken links that derail operations.</w:t>
      </w:r>
    </w:p>
    <w:p w14:paraId="22AB85D6" w14:textId="77777777" w:rsidR="00E23B5F" w:rsidRDefault="00E23B5F" w:rsidP="00E23B5F">
      <w:pPr>
        <w:rPr>
          <w:rFonts w:cstheme="minorHAnsi"/>
        </w:rPr>
      </w:pPr>
    </w:p>
    <w:p w14:paraId="293A1E03" w14:textId="77777777" w:rsidR="00E23B5F" w:rsidRDefault="00E23B5F" w:rsidP="00E23B5F">
      <w:pPr>
        <w:pStyle w:val="Heading2"/>
      </w:pPr>
      <w:bookmarkStart w:id="103" w:name="_Toc191026950"/>
      <w:r>
        <w:t>Best Practices for Integrating Data Analytics into a Business</w:t>
      </w:r>
      <w:bookmarkEnd w:id="103"/>
      <w:r>
        <w:t xml:space="preserve"> </w:t>
      </w:r>
    </w:p>
    <w:p w14:paraId="359E2691" w14:textId="77777777" w:rsidR="00E23B5F" w:rsidRDefault="00E23B5F" w:rsidP="00E23B5F">
      <w:r>
        <w:t>Data analytics solutions must be carefully integrated into the business to create sustainable value</w:t>
      </w:r>
      <w:r w:rsidRPr="00643099">
        <w:t xml:space="preserve">. Here are </w:t>
      </w:r>
      <w:r>
        <w:t>three best practices</w:t>
      </w:r>
      <w:r w:rsidRPr="00643099">
        <w:t xml:space="preserve"> to increase the likelihood of success in a data-driven initiative</w:t>
      </w:r>
      <w:r>
        <w:t>:</w:t>
      </w:r>
    </w:p>
    <w:p w14:paraId="0F3A5B7A" w14:textId="77777777" w:rsidR="00E23B5F" w:rsidRDefault="00E23B5F" w:rsidP="00E23B5F">
      <w:r w:rsidRPr="001F02BE">
        <w:t xml:space="preserve">1. </w:t>
      </w:r>
      <w:r>
        <w:t>Define a Clear Data Strategy</w:t>
      </w:r>
    </w:p>
    <w:p w14:paraId="4CD3FFC8" w14:textId="77777777" w:rsidR="00E23B5F" w:rsidRPr="001F02BE" w:rsidRDefault="00E23B5F" w:rsidP="00E23B5F">
      <w:r>
        <w:lastRenderedPageBreak/>
        <w:t>Digital capabilities, much like other tangible and intellectual assets, represent an organizational competitive advantage. The rapid advancement of data solutions has disrupted traditional industry norms, often pressuring organizations to react impulsively to emerging digital initiatives out of fear of missing opportunities or falling behind. To avoid this, companies should align their digital strategy with long-term objectives, ensuring that the organization's overarching goals guide the development of valuable data assets, such as infrastructure and innovative solutions.</w:t>
      </w:r>
    </w:p>
    <w:p w14:paraId="7C0878CA" w14:textId="77777777" w:rsidR="00E23B5F" w:rsidRDefault="00E23B5F" w:rsidP="00E23B5F">
      <w:r w:rsidRPr="001F02BE">
        <w:t>2.</w:t>
      </w:r>
      <w:r>
        <w:t xml:space="preserve"> Prioritize Data Solutions</w:t>
      </w:r>
    </w:p>
    <w:p w14:paraId="6C0ED51E" w14:textId="77777777" w:rsidR="00E23B5F" w:rsidRDefault="00E23B5F" w:rsidP="00E23B5F">
      <w:r>
        <w:t xml:space="preserve">Digital transformation encompasses a </w:t>
      </w:r>
      <w:r w:rsidRPr="00643099">
        <w:t>broad spectrum of possibilities</w:t>
      </w:r>
      <w:r>
        <w:t>, presenting organizations with numerous data-driven opportunities that promise to transform their operations and create new value. However, most organizations lack the capacity to execute multiple initiatives simultaneously and fully realize their potential. Organizations shall prioritize data solutions to maximize impact</w:t>
      </w:r>
      <w:r w:rsidRPr="00F72A09">
        <w:t xml:space="preserve"> by evaluating their potential to enhance the business value chain. By identifying where </w:t>
      </w:r>
      <w:r>
        <w:t>digitalization</w:t>
      </w:r>
      <w:r w:rsidRPr="00F72A09">
        <w:t xml:space="preserve"> can drive the greatest value and performance improvements, businesses can adopt an agile approach that efficiently captures the benefits of digital transformation.</w:t>
      </w:r>
    </w:p>
    <w:p w14:paraId="1012C3EE" w14:textId="77777777" w:rsidR="00E23B5F" w:rsidRDefault="00E23B5F" w:rsidP="00E23B5F">
      <w:r w:rsidRPr="001F02BE">
        <w:t xml:space="preserve">3. </w:t>
      </w:r>
      <w:r w:rsidRPr="00F455E0">
        <w:t>Foster</w:t>
      </w:r>
      <w:r>
        <w:t xml:space="preserve"> a Collaborative Human-Data Culture</w:t>
      </w:r>
    </w:p>
    <w:p w14:paraId="3AF347D2" w14:textId="77777777" w:rsidR="00E23B5F" w:rsidRDefault="00E23B5F" w:rsidP="00E23B5F">
      <w:r>
        <w:t>Organizational capabilities like cutting-edge data science and human expertise must be part of a unified system to achieve successful integration</w:t>
      </w:r>
      <w:r w:rsidRPr="00F72A09">
        <w:t xml:space="preserve">. Rather than being seen as alternatives, computing algorithms and human judgment should complement each other. Organizations should aim to establish a collaborative data culture that merges human expertise with computational insights, promoting evidence-based decision-making while maintaining the </w:t>
      </w:r>
      <w:r>
        <w:t>decisive</w:t>
      </w:r>
      <w:r w:rsidRPr="00F72A09">
        <w:t xml:space="preserve"> role of human involvement</w:t>
      </w:r>
      <w:r>
        <w:t>.</w:t>
      </w:r>
    </w:p>
    <w:p w14:paraId="22170C45" w14:textId="77777777" w:rsidR="00E23B5F" w:rsidRDefault="00E23B5F" w:rsidP="00E23B5F"/>
    <w:p w14:paraId="693E89C2" w14:textId="77777777" w:rsidR="00E23B5F" w:rsidRDefault="00E23B5F" w:rsidP="00E23B5F">
      <w:pPr>
        <w:pStyle w:val="Heading2"/>
      </w:pPr>
      <w:bookmarkStart w:id="104" w:name="_Toc191026951"/>
      <w:r>
        <w:lastRenderedPageBreak/>
        <w:t>Business Strategy</w:t>
      </w:r>
      <w:bookmarkEnd w:id="104"/>
      <w:r>
        <w:t xml:space="preserve"> </w:t>
      </w:r>
    </w:p>
    <w:p w14:paraId="1F37B763" w14:textId="77777777" w:rsidR="00E23B5F" w:rsidRPr="003671AB" w:rsidRDefault="00E23B5F" w:rsidP="00E23B5F">
      <w:r w:rsidRPr="003671AB">
        <w:t>A business should clearly define its</w:t>
      </w:r>
      <w:r>
        <w:t xml:space="preserve"> digital</w:t>
      </w:r>
      <w:r w:rsidRPr="003671AB">
        <w:t xml:space="preserve"> strategy and objectives before engaging in d</w:t>
      </w:r>
      <w:r>
        <w:t>igital transformation</w:t>
      </w:r>
      <w:r w:rsidRPr="003671AB">
        <w:t>.</w:t>
      </w:r>
      <w:r>
        <w:t xml:space="preserve"> The long-term plan</w:t>
      </w:r>
      <w:r w:rsidRPr="003671AB">
        <w:t xml:space="preserve"> outlines how a company aims to compete in its industry and identifies the competitive advantages it will leverage</w:t>
      </w:r>
      <w:r>
        <w:t xml:space="preserve"> through data-driven initiatives</w:t>
      </w:r>
      <w:r w:rsidRPr="003671AB">
        <w:t>.</w:t>
      </w:r>
    </w:p>
    <w:p w14:paraId="378317A0" w14:textId="77777777" w:rsidR="00E23B5F" w:rsidRPr="00E950DF" w:rsidRDefault="00E23B5F" w:rsidP="00E23B5F">
      <w:pPr>
        <w:pStyle w:val="Heading3"/>
      </w:pPr>
      <w:r w:rsidRPr="00E950DF">
        <w:t>Porter’s Five Forces Analysis</w:t>
      </w:r>
    </w:p>
    <w:p w14:paraId="3B2E139E" w14:textId="77777777" w:rsidR="00E23B5F" w:rsidRPr="00E950DF" w:rsidRDefault="00E23B5F" w:rsidP="00E23B5F">
      <w:r w:rsidRPr="00E950DF">
        <w:t>Porter’s Five Forces model explain</w:t>
      </w:r>
      <w:r>
        <w:t>s</w:t>
      </w:r>
      <w:r w:rsidRPr="00E950DF">
        <w:t xml:space="preserve"> why industries </w:t>
      </w:r>
      <w:r>
        <w:t>experience</w:t>
      </w:r>
      <w:r w:rsidRPr="00E950DF">
        <w:t xml:space="preserve"> varying levels of profitability. </w:t>
      </w:r>
      <w:r>
        <w:t>I</w:t>
      </w:r>
      <w:r w:rsidRPr="00E950DF">
        <w:t xml:space="preserve">ntroduced by Michael E. Porter in his 1980 book </w:t>
      </w:r>
      <w:r>
        <w:t>Competitive Strategy: Techniques for Analyzing Industries and Competitors, this framework has become a cornerstone for evaluating an industry's profitabilit</w:t>
      </w:r>
      <w:r w:rsidRPr="00E950DF">
        <w:t>y.</w:t>
      </w:r>
    </w:p>
    <w:p w14:paraId="71B35A9B" w14:textId="77777777" w:rsidR="00E23B5F" w:rsidRPr="00E950DF" w:rsidRDefault="00E23B5F" w:rsidP="00E23B5F">
      <w:r w:rsidRPr="00E950DF">
        <w:t xml:space="preserve">The model identifies five fundamental forces that shape </w:t>
      </w:r>
      <w:r>
        <w:t>a</w:t>
      </w:r>
      <w:r w:rsidRPr="00E950DF">
        <w:t xml:space="preserve"> competitive environment:</w:t>
      </w:r>
    </w:p>
    <w:p w14:paraId="08A7CDB8" w14:textId="77777777" w:rsidR="00E23B5F" w:rsidRPr="003671AB" w:rsidRDefault="00E23B5F" w:rsidP="00D81274">
      <w:pPr>
        <w:pStyle w:val="ListParagraph"/>
        <w:numPr>
          <w:ilvl w:val="0"/>
          <w:numId w:val="42"/>
        </w:numPr>
      </w:pPr>
      <w:r w:rsidRPr="003671AB">
        <w:t xml:space="preserve">Rivalry </w:t>
      </w:r>
      <w:r>
        <w:t>a</w:t>
      </w:r>
      <w:r w:rsidRPr="003671AB">
        <w:t xml:space="preserve">mong </w:t>
      </w:r>
      <w:r>
        <w:t>e</w:t>
      </w:r>
      <w:r w:rsidRPr="003671AB">
        <w:t xml:space="preserve">xisting </w:t>
      </w:r>
      <w:r>
        <w:t>c</w:t>
      </w:r>
      <w:r w:rsidRPr="003671AB">
        <w:t xml:space="preserve">ompetitors: This assesses how intensely firms in an industry compete, impacting profitability through price and market share battles. For instance, major </w:t>
      </w:r>
      <w:r>
        <w:t xml:space="preserve">smartphone industry players like Apple and Samsung </w:t>
      </w:r>
      <w:r w:rsidRPr="003671AB">
        <w:t>compete fiercely through innovation and aggressive marketing campaigns.</w:t>
      </w:r>
    </w:p>
    <w:p w14:paraId="288BC46B" w14:textId="77777777" w:rsidR="00E23B5F" w:rsidRPr="003671AB" w:rsidRDefault="00E23B5F" w:rsidP="00D81274">
      <w:pPr>
        <w:pStyle w:val="ListParagraph"/>
        <w:numPr>
          <w:ilvl w:val="0"/>
          <w:numId w:val="42"/>
        </w:numPr>
      </w:pPr>
      <w:r w:rsidRPr="003671AB">
        <w:t xml:space="preserve">Threat of </w:t>
      </w:r>
      <w:r>
        <w:t>s</w:t>
      </w:r>
      <w:r w:rsidRPr="003671AB">
        <w:t xml:space="preserve">ubstitute </w:t>
      </w:r>
      <w:r>
        <w:t>p</w:t>
      </w:r>
      <w:r w:rsidRPr="003671AB">
        <w:t xml:space="preserve">roducts: This evaluates the risk </w:t>
      </w:r>
      <w:r>
        <w:t>of</w:t>
      </w:r>
      <w:r w:rsidRPr="003671AB">
        <w:t xml:space="preserve"> alternative products or services that could draw customers away, affecting pricing and market share. </w:t>
      </w:r>
      <w:r>
        <w:t>For example, coffee shops in the beverage industry</w:t>
      </w:r>
      <w:r w:rsidRPr="003671AB">
        <w:t xml:space="preserve"> face competition from energy drinks and tea due to factors like health trends and taste preferences.</w:t>
      </w:r>
    </w:p>
    <w:p w14:paraId="14FAF5AB" w14:textId="77777777" w:rsidR="00E23B5F" w:rsidRPr="003671AB" w:rsidRDefault="00E23B5F" w:rsidP="00D81274">
      <w:pPr>
        <w:pStyle w:val="ListParagraph"/>
        <w:numPr>
          <w:ilvl w:val="0"/>
          <w:numId w:val="42"/>
        </w:numPr>
      </w:pPr>
      <w:r w:rsidRPr="003671AB">
        <w:t xml:space="preserve">Threat of </w:t>
      </w:r>
      <w:r>
        <w:t>n</w:t>
      </w:r>
      <w:r w:rsidRPr="003671AB">
        <w:t xml:space="preserve">ew </w:t>
      </w:r>
      <w:r>
        <w:t>e</w:t>
      </w:r>
      <w:r w:rsidRPr="003671AB">
        <w:t xml:space="preserve">ntrants: This considers </w:t>
      </w:r>
      <w:r>
        <w:t>competitors' barriers</w:t>
      </w:r>
      <w:r w:rsidRPr="003671AB">
        <w:t>, such as capital requirements and regulations. Despite high barriers in industries like airlines, low-cost carriers such as Ryanair have successfully entered the market, intensifying competition.</w:t>
      </w:r>
    </w:p>
    <w:p w14:paraId="7AAF6ED2" w14:textId="77777777" w:rsidR="00E23B5F" w:rsidRPr="003671AB" w:rsidRDefault="00E23B5F" w:rsidP="00D81274">
      <w:pPr>
        <w:pStyle w:val="ListParagraph"/>
        <w:numPr>
          <w:ilvl w:val="0"/>
          <w:numId w:val="42"/>
        </w:numPr>
      </w:pPr>
      <w:r w:rsidRPr="003671AB">
        <w:t xml:space="preserve">Bargaining </w:t>
      </w:r>
      <w:r>
        <w:t>p</w:t>
      </w:r>
      <w:r w:rsidRPr="003671AB">
        <w:t xml:space="preserve">ower of </w:t>
      </w:r>
      <w:r>
        <w:t>s</w:t>
      </w:r>
      <w:r w:rsidRPr="003671AB">
        <w:t>uppliers: This analyzes suppliers' influence over costs and quality, affecting profitability by controlling essential resources. In industries like electric vehicles, suppliers of critical components</w:t>
      </w:r>
      <w:r>
        <w:t>, such as batteries,</w:t>
      </w:r>
      <w:r w:rsidRPr="003671AB">
        <w:t xml:space="preserve"> wield significant power over manufacturers.</w:t>
      </w:r>
    </w:p>
    <w:p w14:paraId="373B55FE" w14:textId="77777777" w:rsidR="00E23B5F" w:rsidRDefault="00E23B5F" w:rsidP="00D81274">
      <w:pPr>
        <w:pStyle w:val="ListParagraph"/>
        <w:numPr>
          <w:ilvl w:val="0"/>
          <w:numId w:val="42"/>
        </w:numPr>
      </w:pPr>
      <w:r w:rsidRPr="00707E74">
        <w:lastRenderedPageBreak/>
        <w:t xml:space="preserve">Bargaining </w:t>
      </w:r>
      <w:r>
        <w:t>p</w:t>
      </w:r>
      <w:r w:rsidRPr="00707E74">
        <w:t xml:space="preserve">ower of </w:t>
      </w:r>
      <w:r>
        <w:t>c</w:t>
      </w:r>
      <w:r w:rsidRPr="00707E74">
        <w:t>ustomers: This assesses how customers can influence prices and product quality, impacting profitability. In the hospitality industry, hotels often face significant bargaining power from online booking platforms. These platforms enable travelers to easily compare prices and find hotel deals, compelling hotels to adjust their pricing strategies and offerings to remain competitive.</w:t>
      </w:r>
    </w:p>
    <w:p w14:paraId="7A5EB3BB" w14:textId="77777777" w:rsidR="00E23B5F" w:rsidRPr="00A9783B" w:rsidRDefault="00E23B5F" w:rsidP="00E23B5F">
      <w:r w:rsidRPr="00262232">
        <w:t xml:space="preserve">Understanding these forces helps businesses assess industry attractiveness, predict competitive pressures, and strategize effectively for profitability. While the model offers insights into industry dynamics, </w:t>
      </w:r>
      <w:r>
        <w:t>a</w:t>
      </w:r>
      <w:r w:rsidRPr="00262232">
        <w:t xml:space="preserve"> company's </w:t>
      </w:r>
      <w:r>
        <w:t xml:space="preserve">success </w:t>
      </w:r>
      <w:r w:rsidRPr="00262232">
        <w:t xml:space="preserve">depends on leveraging </w:t>
      </w:r>
      <w:r>
        <w:t xml:space="preserve">its unique </w:t>
      </w:r>
      <w:r w:rsidRPr="00262232">
        <w:t xml:space="preserve">strengths and </w:t>
      </w:r>
      <w:r>
        <w:t>strategic decisions</w:t>
      </w:r>
      <w:r w:rsidRPr="00262232">
        <w:t>.</w:t>
      </w:r>
    </w:p>
    <w:p w14:paraId="1E22118F" w14:textId="77777777" w:rsidR="00E23B5F" w:rsidRPr="003E080E" w:rsidRDefault="00E23B5F" w:rsidP="00E23B5F">
      <w:pPr>
        <w:pStyle w:val="Heading3"/>
      </w:pPr>
      <w:r w:rsidRPr="003E080E">
        <w:t>Competitive Strategy</w:t>
      </w:r>
    </w:p>
    <w:p w14:paraId="1C0861E9" w14:textId="77777777" w:rsidR="00E23B5F" w:rsidRPr="003E080E" w:rsidRDefault="00E23B5F" w:rsidP="00E23B5F">
      <w:r w:rsidRPr="0011318D">
        <w:t xml:space="preserve">To gain a competitive edge, companies must deliver more value than their </w:t>
      </w:r>
      <w:r>
        <w:t>competitors</w:t>
      </w:r>
      <w:r w:rsidRPr="0011318D">
        <w:t xml:space="preserve"> while </w:t>
      </w:r>
      <w:r>
        <w:t xml:space="preserve">ensuring </w:t>
      </w:r>
      <w:r w:rsidRPr="0011318D">
        <w:t>profitability. In today’s global market, where customers are more demanding, organizations must choose strategies that create sustainable advantages and meet customer needs</w:t>
      </w:r>
      <w:r w:rsidRPr="003E080E">
        <w:t>.</w:t>
      </w:r>
    </w:p>
    <w:p w14:paraId="08A0DBA6" w14:textId="77777777" w:rsidR="00E23B5F" w:rsidRDefault="00E23B5F" w:rsidP="00E23B5F">
      <w:r w:rsidRPr="003E080E">
        <w:t>A firm's ability to create value hinges on two key factors: its cost position and the benefits it offers compared to competitors. T</w:t>
      </w:r>
      <w:r>
        <w:t>wo primary strategic approaches to achieving competitive advantage are</w:t>
      </w:r>
      <w:r w:rsidRPr="003E080E">
        <w:t xml:space="preserve"> cost leadership and differentiation</w:t>
      </w:r>
      <w:r>
        <w:t>.</w:t>
      </w:r>
    </w:p>
    <w:p w14:paraId="1E172508" w14:textId="77777777" w:rsidR="00E23B5F" w:rsidRPr="0011318D" w:rsidRDefault="00E23B5F" w:rsidP="00D81274">
      <w:pPr>
        <w:pStyle w:val="ListParagraph"/>
        <w:numPr>
          <w:ilvl w:val="0"/>
          <w:numId w:val="43"/>
        </w:numPr>
      </w:pPr>
      <w:r w:rsidRPr="0011318D">
        <w:t xml:space="preserve">Cost Leadership: This strategy focuses on minimizing operational costs across the business. Companies pursuing cost leadership aim for operational efficiency and economies of scale, often through technologies like automation. It doesn't always mean offering the lowest-priced product but enables companies to price competitively while maintaining profitability. For example, Walmart leverages its massive scale and efficient supply chain to </w:t>
      </w:r>
      <w:r>
        <w:t>provide</w:t>
      </w:r>
      <w:r w:rsidRPr="0011318D">
        <w:t xml:space="preserve"> low prices, attracting price-sensitive customers while keeping costs down.</w:t>
      </w:r>
    </w:p>
    <w:p w14:paraId="78F46072" w14:textId="77777777" w:rsidR="00E23B5F" w:rsidRPr="0011318D" w:rsidRDefault="00E23B5F" w:rsidP="00D81274">
      <w:pPr>
        <w:pStyle w:val="ListParagraph"/>
        <w:numPr>
          <w:ilvl w:val="0"/>
          <w:numId w:val="43"/>
        </w:numPr>
      </w:pPr>
      <w:r w:rsidRPr="0011318D">
        <w:t xml:space="preserve">Differentiation: This strategy </w:t>
      </w:r>
      <w:r>
        <w:t>offers</w:t>
      </w:r>
      <w:r w:rsidRPr="0011318D">
        <w:t xml:space="preserve"> unique products or services that stand out in the market. A company pursuing differentiation understands customer needs deeply, providing products </w:t>
      </w:r>
      <w:r w:rsidRPr="0011318D">
        <w:lastRenderedPageBreak/>
        <w:t xml:space="preserve">perceived as superior. This approach often leads to customer loyalty and premium pricing. Apple is an example, offering highly innovative products like the iPhone and MacBook, known for </w:t>
      </w:r>
      <w:r>
        <w:t>their eco-system</w:t>
      </w:r>
      <w:r w:rsidRPr="0011318D">
        <w:t xml:space="preserve"> and user experience, which foster strong brand loyalty.</w:t>
      </w:r>
    </w:p>
    <w:p w14:paraId="5224ECA0" w14:textId="77777777" w:rsidR="00E23B5F" w:rsidRDefault="00E23B5F" w:rsidP="00E23B5F"/>
    <w:p w14:paraId="6D968FA9" w14:textId="77777777" w:rsidR="00E23B5F" w:rsidRPr="003E080E" w:rsidRDefault="00E23B5F" w:rsidP="00E23B5F">
      <w:r>
        <w:rPr>
          <w:noProof/>
        </w:rPr>
        <w:drawing>
          <wp:inline distT="0" distB="0" distL="0" distR="0" wp14:anchorId="7016B3E1" wp14:editId="31FFB799">
            <wp:extent cx="5486400" cy="3086100"/>
            <wp:effectExtent l="0" t="0" r="0" b="0"/>
            <wp:docPr id="961235565" name="Picture 2" descr="A diagram of a company's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01980" name="Picture 2" descr="A diagram of a company's valu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41248EB" w14:textId="77777777" w:rsidR="00E23B5F" w:rsidRDefault="00E23B5F" w:rsidP="00E23B5F">
      <w:r w:rsidRPr="0011318D">
        <w:t xml:space="preserve">Whether a company </w:t>
      </w:r>
      <w:r>
        <w:t>chooses</w:t>
      </w:r>
      <w:r w:rsidRPr="0011318D">
        <w:t xml:space="preserve"> cost leadership or differentiation, the goal is to create superior customer value while sustaining profitability. Digital capabilities, such as data analytics, are integral to achieving these strategies and should be aligned with the overall business strategy to support successful digital transformation</w:t>
      </w:r>
      <w:r>
        <w:t xml:space="preserve">.  </w:t>
      </w:r>
    </w:p>
    <w:p w14:paraId="0C844966" w14:textId="77777777" w:rsidR="00E23B5F" w:rsidRDefault="00E23B5F" w:rsidP="00E23B5F">
      <w:pPr>
        <w:spacing w:line="360" w:lineRule="auto"/>
        <w:rPr>
          <w:rFonts w:cstheme="minorHAnsi"/>
        </w:rPr>
      </w:pPr>
    </w:p>
    <w:p w14:paraId="4A00825B" w14:textId="77777777" w:rsidR="00E23B5F" w:rsidRDefault="00E23B5F" w:rsidP="00E23B5F">
      <w:pPr>
        <w:pStyle w:val="Heading3"/>
      </w:pPr>
      <w:r w:rsidRPr="00027F2E">
        <w:t>Dynamic</w:t>
      </w:r>
      <w:r>
        <w:t xml:space="preserve"> Capability Strategy</w:t>
      </w:r>
    </w:p>
    <w:p w14:paraId="1095AEA9" w14:textId="77777777" w:rsidR="00E23B5F" w:rsidRPr="00147740" w:rsidRDefault="00E23B5F" w:rsidP="00E23B5F">
      <w:r>
        <w:t xml:space="preserve">Porter’s framework offers a snapshot of what drives industry profitability at a specific moment. The dynamic capability framework, pioneered by Professor David Teece of UC Berkeley's Haas Business School, focuses on a firm's ability to adapt to change. In his paper “Explicating Dynamic Capabilities: The </w:t>
      </w:r>
      <w:r>
        <w:lastRenderedPageBreak/>
        <w:t xml:space="preserve">Nature and </w:t>
      </w:r>
      <w:proofErr w:type="spellStart"/>
      <w:r>
        <w:t>Microfoundations</w:t>
      </w:r>
      <w:proofErr w:type="spellEnd"/>
      <w:r>
        <w:t xml:space="preserve"> of Enterprise Performance,” Dr. Teece referred to </w:t>
      </w:r>
      <w:r w:rsidRPr="00147740">
        <w:t>Dynamic capability a</w:t>
      </w:r>
      <w:r>
        <w:t>s a</w:t>
      </w:r>
      <w:r w:rsidRPr="00147740">
        <w:t xml:space="preserve"> company’s ability to sense opportunities, reconfigure resources, and respond to market shifts effectively.</w:t>
      </w:r>
    </w:p>
    <w:p w14:paraId="595A3573" w14:textId="77777777" w:rsidR="00E23B5F" w:rsidRDefault="00E23B5F" w:rsidP="00E23B5F">
      <w:r w:rsidRPr="00147740">
        <w:t xml:space="preserve">The framework acknowledges that change is constant. Dynamic capability is about corporate agility—how well a company can sense and act upon market opportunities and threats. This means proactively spotting emerging trends and shifts in the business environment. </w:t>
      </w:r>
    </w:p>
    <w:p w14:paraId="74C1757C" w14:textId="77777777" w:rsidR="00E23B5F" w:rsidRPr="00147740" w:rsidRDefault="00E23B5F" w:rsidP="00E23B5F">
      <w:r w:rsidRPr="00147740">
        <w:t xml:space="preserve">Organizations can build dynamic capabilities by adjusting tangible assets (e.g., technology, processes) and intangible assets (e.g., knowledge, partnerships). To stay ahead, businesses must foster a culture that values innovation, learning, and adaptability. By effectively leveraging their internal strengths and external </w:t>
      </w:r>
      <w:r>
        <w:t>alliance</w:t>
      </w:r>
      <w:r w:rsidRPr="00147740">
        <w:t xml:space="preserve">s, firms can respond to disruptions, seize opportunities, and </w:t>
      </w:r>
      <w:r>
        <w:t xml:space="preserve">drive </w:t>
      </w:r>
      <w:r w:rsidRPr="00147740">
        <w:t>sustainable growth.</w:t>
      </w:r>
      <w:r>
        <w:t xml:space="preserve"> </w:t>
      </w:r>
      <w:r w:rsidRPr="00147740">
        <w:t>For example, Microsoft successfully transformed its business by integrating AI into core products like Office 365, demonstrating its agility and ability to innovate</w:t>
      </w:r>
    </w:p>
    <w:p w14:paraId="3CC507CA" w14:textId="77777777" w:rsidR="00E23B5F" w:rsidRPr="009200CB" w:rsidRDefault="00E23B5F" w:rsidP="00E23B5F">
      <w:pPr>
        <w:pStyle w:val="Heading3"/>
      </w:pPr>
      <w:r w:rsidRPr="009200CB">
        <w:t>Game Theory in Busines</w:t>
      </w:r>
      <w:r>
        <w:t>s</w:t>
      </w:r>
    </w:p>
    <w:p w14:paraId="6DC8A007" w14:textId="77777777" w:rsidR="00E23B5F" w:rsidRPr="00E134DC" w:rsidRDefault="00E23B5F" w:rsidP="00E23B5F">
      <w:r>
        <w:t>Decisions are shaped by a company's actions and competitors' responses in a competitive environment</w:t>
      </w:r>
      <w:r w:rsidRPr="00E134DC">
        <w:t>. Game theory offers a structured framework to analyze these interactions, providing businesses with insights to make informed decisions and predict potential outcomes.</w:t>
      </w:r>
    </w:p>
    <w:p w14:paraId="44B02FF8" w14:textId="77777777" w:rsidR="00E23B5F" w:rsidRPr="00E134DC" w:rsidRDefault="00E23B5F" w:rsidP="00E23B5F">
      <w:r w:rsidRPr="00E134DC">
        <w:t>Consider the smartphone industry, where companies constantly innovate and compete for market share. Game theory can help analyze how different firms' decisions on pricing and product features influence each other. By modeling these strategic interactions, businesses can forecast how competitors might respond to new product launches or pricing changes. This foresight enables companies to refine their strategies, anticipate market dynamics, and strategically position their products to gain a competitive edge.</w:t>
      </w:r>
    </w:p>
    <w:p w14:paraId="362D07A6" w14:textId="77777777" w:rsidR="00E23B5F" w:rsidRPr="00E134DC" w:rsidRDefault="00E23B5F" w:rsidP="00E23B5F">
      <w:r w:rsidRPr="00E134DC">
        <w:t xml:space="preserve">Moreover, game theory is instrumental in strategic </w:t>
      </w:r>
      <w:r>
        <w:t xml:space="preserve">partnership </w:t>
      </w:r>
      <w:r w:rsidRPr="00E134DC">
        <w:t>planning</w:t>
      </w:r>
      <w:r>
        <w:t xml:space="preserve"> decisions</w:t>
      </w:r>
      <w:r w:rsidRPr="00E134DC">
        <w:t xml:space="preserve">. When evaluating potential deals, companies must consider </w:t>
      </w:r>
      <w:r>
        <w:t>their strengths and</w:t>
      </w:r>
      <w:r w:rsidRPr="00E134DC">
        <w:t xml:space="preserve"> likely responses from competitors and </w:t>
      </w:r>
      <w:r w:rsidRPr="00E134DC">
        <w:lastRenderedPageBreak/>
        <w:t xml:space="preserve">regulators. Game theory provides a method to simulate various scenarios, assess risks, and optimize negotiation strategies. This analytical approach helps firms navigate complex </w:t>
      </w:r>
      <w:r>
        <w:t xml:space="preserve">partnership </w:t>
      </w:r>
      <w:r w:rsidRPr="00E134DC">
        <w:t>landscapes, ensuring that decisions align with long-term growth objectives and regulatory requirements.</w:t>
      </w:r>
    </w:p>
    <w:p w14:paraId="788B3AE0" w14:textId="77777777" w:rsidR="00E23B5F" w:rsidRDefault="00E23B5F" w:rsidP="00E23B5F">
      <w:r w:rsidRPr="009200CB">
        <w:t xml:space="preserve">For example, in the transatlantic airline market, carriers use game theory to plan flight schedules, pricing strategies, and the introduction of ancillary fees like baggage charges and seat selection fees. </w:t>
      </w:r>
      <w:r>
        <w:t>Airlines strategically implement these fees by analyzing competitor responses and passenger preferenc</w:t>
      </w:r>
      <w:r w:rsidRPr="009200CB">
        <w:t xml:space="preserve">es to enhance revenue streams while maintaining competitive </w:t>
      </w:r>
      <w:r>
        <w:t>advantages</w:t>
      </w:r>
      <w:r w:rsidRPr="009200CB">
        <w:t>. This simultaneous adoption of new pricing models based on game theory insights contributes to increased profitability and strategic positioning within the industry.</w:t>
      </w:r>
    </w:p>
    <w:p w14:paraId="105E9FD6" w14:textId="77777777" w:rsidR="00E23B5F" w:rsidRDefault="00E23B5F" w:rsidP="00E23B5F">
      <w:r w:rsidRPr="00CC5BB9">
        <w:t>The rapid advancement of data analytics, especially AI, presents opportunities and challenges for businesses navigating digital transformation. Organizations must carefully decide how to invest in these initiatives to</w:t>
      </w:r>
      <w:r>
        <w:t xml:space="preserve"> enhance data-driven business</w:t>
      </w:r>
      <w:r w:rsidRPr="001B6729">
        <w:t>. By adopting frameworks like Porter’s Five Forces, dynamic capability, and game theory, organizations can align their digital strategies with long-term objectives and focus on creating sustainable value in a fast-evolving environment.</w:t>
      </w:r>
    </w:p>
    <w:p w14:paraId="19267CFB" w14:textId="77777777" w:rsidR="00E23B5F" w:rsidRDefault="00E23B5F" w:rsidP="00E23B5F">
      <w:pPr>
        <w:pStyle w:val="Heading3"/>
        <w:numPr>
          <w:ilvl w:val="0"/>
          <w:numId w:val="0"/>
        </w:numPr>
        <w:ind w:left="720"/>
      </w:pPr>
    </w:p>
    <w:p w14:paraId="74957169" w14:textId="77777777" w:rsidR="00E23B5F" w:rsidRDefault="00E23B5F" w:rsidP="00E23B5F">
      <w:pPr>
        <w:pStyle w:val="Heading3"/>
      </w:pPr>
      <w:r>
        <w:t xml:space="preserve">Prioritize Data Solutions to Improve </w:t>
      </w:r>
      <w:r w:rsidRPr="00AC1FB6">
        <w:t>Profitability</w:t>
      </w:r>
    </w:p>
    <w:p w14:paraId="242CCD3F" w14:textId="77777777" w:rsidR="00E23B5F" w:rsidRDefault="00E23B5F" w:rsidP="00E23B5F">
      <w:r>
        <w:t>The value chain involves interconnected business activities and processes that create valuable products or services and effectively deliver them to customers. By analyzing and optimizing these activities, companies can align their operations more closely with their strategic goals</w:t>
      </w:r>
      <w:r w:rsidRPr="00F111EB">
        <w:t xml:space="preserve"> </w:t>
      </w:r>
      <w:r>
        <w:t xml:space="preserve">to boost profitability. </w:t>
      </w:r>
    </w:p>
    <w:p w14:paraId="65CAA65A" w14:textId="77777777" w:rsidR="00E23B5F" w:rsidRDefault="00E23B5F" w:rsidP="00E23B5F">
      <w:r w:rsidRPr="00851BCF">
        <w:t xml:space="preserve">A company’s value chain can be </w:t>
      </w:r>
      <w:r>
        <w:t>categorized</w:t>
      </w:r>
      <w:r w:rsidRPr="00851BCF">
        <w:t xml:space="preserve"> into primary and support functions.</w:t>
      </w:r>
    </w:p>
    <w:p w14:paraId="2A5CBAF1" w14:textId="77777777" w:rsidR="00E23B5F" w:rsidRDefault="00E23B5F" w:rsidP="00E23B5F">
      <w:r>
        <w:t>Primary activities are directly involved in producing and delivering a product or service. These include:</w:t>
      </w:r>
    </w:p>
    <w:p w14:paraId="427C66C6" w14:textId="77777777" w:rsidR="00E23B5F" w:rsidRDefault="00E23B5F" w:rsidP="00E23B5F">
      <w:pPr>
        <w:pStyle w:val="ListParagraph"/>
        <w:numPr>
          <w:ilvl w:val="0"/>
          <w:numId w:val="2"/>
        </w:numPr>
      </w:pPr>
      <w:r>
        <w:t>Inbound logistics: Sourcing, receiving, and storing raw materials.</w:t>
      </w:r>
    </w:p>
    <w:p w14:paraId="397F8EC0" w14:textId="77777777" w:rsidR="00E23B5F" w:rsidRDefault="00E23B5F" w:rsidP="00E23B5F">
      <w:pPr>
        <w:pStyle w:val="ListParagraph"/>
        <w:numPr>
          <w:ilvl w:val="0"/>
          <w:numId w:val="2"/>
        </w:numPr>
      </w:pPr>
      <w:r>
        <w:lastRenderedPageBreak/>
        <w:t>Operations: Transforming these materials into finished products.</w:t>
      </w:r>
    </w:p>
    <w:p w14:paraId="6D9426E7" w14:textId="77777777" w:rsidR="00E23B5F" w:rsidRDefault="00E23B5F" w:rsidP="00E23B5F">
      <w:pPr>
        <w:pStyle w:val="ListParagraph"/>
        <w:numPr>
          <w:ilvl w:val="0"/>
          <w:numId w:val="2"/>
        </w:numPr>
      </w:pPr>
      <w:r>
        <w:t>Outbound logistics: Distributing and delivering products to customers.</w:t>
      </w:r>
    </w:p>
    <w:p w14:paraId="67A54CE0" w14:textId="77777777" w:rsidR="00E23B5F" w:rsidRDefault="00E23B5F" w:rsidP="00E23B5F">
      <w:pPr>
        <w:pStyle w:val="ListParagraph"/>
        <w:numPr>
          <w:ilvl w:val="0"/>
          <w:numId w:val="2"/>
        </w:numPr>
      </w:pPr>
      <w:r>
        <w:t>Marketing and sales: Promoting products and acquiring customers.</w:t>
      </w:r>
    </w:p>
    <w:p w14:paraId="4B830903" w14:textId="77777777" w:rsidR="00E23B5F" w:rsidRDefault="00E23B5F" w:rsidP="00E23B5F">
      <w:pPr>
        <w:pStyle w:val="ListParagraph"/>
        <w:numPr>
          <w:ilvl w:val="0"/>
          <w:numId w:val="2"/>
        </w:numPr>
      </w:pPr>
      <w:r>
        <w:t>After-sales services: Providing support and maintenance post-purchase.</w:t>
      </w:r>
    </w:p>
    <w:p w14:paraId="7CFD978C" w14:textId="77777777" w:rsidR="00E23B5F" w:rsidRDefault="00E23B5F" w:rsidP="00E23B5F">
      <w:r>
        <w:t>Support activities support the efficiency and effectiveness of primary activities, enhancing overall value creation. These include:</w:t>
      </w:r>
    </w:p>
    <w:p w14:paraId="27ABBF6F" w14:textId="77777777" w:rsidR="00E23B5F" w:rsidRDefault="00E23B5F" w:rsidP="00E23B5F">
      <w:pPr>
        <w:pStyle w:val="ListParagraph"/>
        <w:numPr>
          <w:ilvl w:val="0"/>
          <w:numId w:val="3"/>
        </w:numPr>
      </w:pPr>
      <w:r>
        <w:t>Procurement: Managing supplier relationships and purchasing inputs.</w:t>
      </w:r>
    </w:p>
    <w:p w14:paraId="02DBDC9F" w14:textId="77777777" w:rsidR="00E23B5F" w:rsidRDefault="00E23B5F" w:rsidP="00E23B5F">
      <w:pPr>
        <w:pStyle w:val="ListParagraph"/>
        <w:numPr>
          <w:ilvl w:val="0"/>
          <w:numId w:val="3"/>
        </w:numPr>
      </w:pPr>
      <w:r>
        <w:t>Technological development: Driving innovation through research and development.</w:t>
      </w:r>
    </w:p>
    <w:p w14:paraId="47AB6454" w14:textId="77777777" w:rsidR="00E23B5F" w:rsidRDefault="00E23B5F" w:rsidP="00E23B5F">
      <w:pPr>
        <w:pStyle w:val="ListParagraph"/>
        <w:numPr>
          <w:ilvl w:val="0"/>
          <w:numId w:val="3"/>
        </w:numPr>
      </w:pPr>
      <w:r>
        <w:t>Human resources management: Recruiting, training, and developing employees.</w:t>
      </w:r>
    </w:p>
    <w:p w14:paraId="1534B693" w14:textId="77777777" w:rsidR="00E23B5F" w:rsidRDefault="00E23B5F" w:rsidP="00E23B5F">
      <w:pPr>
        <w:pStyle w:val="ListParagraph"/>
        <w:numPr>
          <w:ilvl w:val="0"/>
          <w:numId w:val="3"/>
        </w:numPr>
      </w:pPr>
      <w:r>
        <w:t>Infrastructure: Encompassing support systems like IT, finance, and administration.</w:t>
      </w:r>
    </w:p>
    <w:p w14:paraId="224CD788" w14:textId="77777777" w:rsidR="00E23B5F" w:rsidRDefault="00E23B5F" w:rsidP="00E23B5F">
      <w:r w:rsidRPr="00851BCF">
        <w:t>A</w:t>
      </w:r>
      <w:r>
        <w:t xml:space="preserve">n </w:t>
      </w:r>
      <w:r w:rsidRPr="00851BCF">
        <w:t xml:space="preserve">example of effective value chain management is Apple Inc. According to the Harvard Business Review article, “Apple's Value Chain Analysis: Understanding the Competitive Edge,” Apple excels at managing its primary and support activities. The company invests heavily in technological development, human resources management, and inbound and outbound logistics, </w:t>
      </w:r>
      <w:r>
        <w:t>maximizing operational efficiency and consistently meeting</w:t>
      </w:r>
      <w:r w:rsidRPr="00851BCF">
        <w:t xml:space="preserve"> high consumer expectations.</w:t>
      </w:r>
    </w:p>
    <w:p w14:paraId="78F543BC" w14:textId="77777777" w:rsidR="00E23B5F" w:rsidRPr="00F56C41" w:rsidRDefault="00E23B5F" w:rsidP="00E23B5F">
      <w:pPr>
        <w:rPr>
          <w:rFonts w:eastAsiaTheme="majorEastAsia" w:cstheme="minorHAnsi"/>
          <w:color w:val="2F5496" w:themeColor="accent1" w:themeShade="BF"/>
          <w:sz w:val="26"/>
          <w:szCs w:val="26"/>
          <w:u w:val="single"/>
        </w:rPr>
      </w:pPr>
      <w:r w:rsidRPr="00851BCF">
        <w:t xml:space="preserve">Digital solutions offer businesses new opportunities to enhance operational efficiency and cost-effectiveness by optimizing value chain management. Organizations should focus on data-driven solutions </w:t>
      </w:r>
      <w:r>
        <w:t>with</w:t>
      </w:r>
      <w:r w:rsidRPr="00851BCF">
        <w:t xml:space="preserve"> the greatest potential to improve value chain activities. By identifying areas where digitalization can build new competitive advantages, companies can adopt an agile approach that quickly realizes the value of digital initiatives while developing new digital capabilities</w:t>
      </w:r>
      <w:r>
        <w:t>.</w:t>
      </w:r>
    </w:p>
    <w:p w14:paraId="74348080" w14:textId="77777777" w:rsidR="00E23B5F" w:rsidRPr="002E2D98" w:rsidRDefault="00E23B5F" w:rsidP="00E23B5F">
      <w:pPr>
        <w:pStyle w:val="Heading2"/>
        <w:rPr>
          <w:shd w:val="clear" w:color="auto" w:fill="FFFFFF"/>
        </w:rPr>
      </w:pPr>
      <w:bookmarkStart w:id="105" w:name="_Toc191026952"/>
      <w:r w:rsidRPr="002E2D98">
        <w:rPr>
          <w:shd w:val="clear" w:color="auto" w:fill="FFFFFF"/>
        </w:rPr>
        <w:lastRenderedPageBreak/>
        <w:t>Human-Machine Collaboration</w:t>
      </w:r>
      <w:bookmarkEnd w:id="105"/>
    </w:p>
    <w:p w14:paraId="1D329C6C" w14:textId="77777777" w:rsidR="00E23B5F" w:rsidRPr="006303B5" w:rsidRDefault="00E23B5F" w:rsidP="00E23B5F">
      <w:pPr>
        <w:rPr>
          <w:shd w:val="clear" w:color="auto" w:fill="FFFFFF"/>
        </w:rPr>
      </w:pPr>
      <w:r w:rsidRPr="002E2D98">
        <w:rPr>
          <w:shd w:val="clear" w:color="auto" w:fill="FFFFFF"/>
        </w:rPr>
        <w:t xml:space="preserve">Transforming a business into a data-driven powerhouse requires more than just adopting the latest technologies; it necessitates a </w:t>
      </w:r>
      <w:r>
        <w:rPr>
          <w:shd w:val="clear" w:color="auto" w:fill="FFFFFF"/>
        </w:rPr>
        <w:t>profound</w:t>
      </w:r>
      <w:r w:rsidRPr="002E2D98">
        <w:rPr>
          <w:shd w:val="clear" w:color="auto" w:fill="FFFFFF"/>
        </w:rPr>
        <w:t xml:space="preserve"> cultural shift that embraces holistic data practices.</w:t>
      </w:r>
      <w:r>
        <w:rPr>
          <w:shd w:val="clear" w:color="auto" w:fill="FFFFFF"/>
        </w:rPr>
        <w:t xml:space="preserve"> </w:t>
      </w:r>
      <w:r w:rsidRPr="006303B5">
        <w:rPr>
          <w:shd w:val="clear" w:color="auto" w:fill="FFFFFF"/>
        </w:rPr>
        <w:t>A successful data-driven initiative often involves a computer-human collaborative team across various organizational functions. This team includes individuals from corporate strategy, business units, IT, data science, sales, and customer service. Each group brings unique insights and expertise to the table. For example, subject matter experts from corporate strategy and business units ensure that data solutions are aligned with the company's strategic goals. They provide a critical understanding of the business challenges and opportunities that data analytics can address</w:t>
      </w:r>
      <w:r>
        <w:rPr>
          <w:shd w:val="clear" w:color="auto" w:fill="FFFFFF"/>
        </w:rPr>
        <w:t>.</w:t>
      </w:r>
    </w:p>
    <w:p w14:paraId="39A7A0B2" w14:textId="77777777" w:rsidR="00E23B5F" w:rsidRPr="002E2D98" w:rsidRDefault="00E23B5F" w:rsidP="00E23B5F">
      <w:pPr>
        <w:rPr>
          <w:shd w:val="clear" w:color="auto" w:fill="FFFFFF"/>
        </w:rPr>
      </w:pPr>
      <w:r w:rsidRPr="002E2D98">
        <w:rPr>
          <w:shd w:val="clear" w:color="auto" w:fill="FFFFFF"/>
        </w:rPr>
        <w:t>IT and data science professionals contribute their technical skills, enabling the development and deployment of data analytics solutions. For instance, in the financial services sector, IT teams might work on integrating data analytics into customer service platforms, helping front-line staff deliver better and more personalized service. This collaborative approach aligns with the organization's strategic objectives, such as improving customer satisfaction and loyalty.</w:t>
      </w:r>
    </w:p>
    <w:p w14:paraId="6ECC8EC0" w14:textId="77777777" w:rsidR="00E23B5F" w:rsidRPr="002E2D98" w:rsidRDefault="00E23B5F" w:rsidP="00E23B5F">
      <w:pPr>
        <w:rPr>
          <w:shd w:val="clear" w:color="auto" w:fill="FFFFFF"/>
        </w:rPr>
      </w:pPr>
      <w:r w:rsidRPr="002E2D98">
        <w:rPr>
          <w:shd w:val="clear" w:color="auto" w:fill="FFFFFF"/>
        </w:rPr>
        <w:t>Front-line teams, such as sales and customer service representatives, provid</w:t>
      </w:r>
      <w:r>
        <w:rPr>
          <w:shd w:val="clear" w:color="auto" w:fill="FFFFFF"/>
        </w:rPr>
        <w:t>e first-hand</w:t>
      </w:r>
      <w:r w:rsidRPr="002E2D98">
        <w:rPr>
          <w:shd w:val="clear" w:color="auto" w:fill="FFFFFF"/>
        </w:rPr>
        <w:t xml:space="preserve"> </w:t>
      </w:r>
      <w:r>
        <w:rPr>
          <w:shd w:val="clear" w:color="auto" w:fill="FFFFFF"/>
        </w:rPr>
        <w:t>intelligence</w:t>
      </w:r>
      <w:r w:rsidRPr="002E2D98">
        <w:rPr>
          <w:shd w:val="clear" w:color="auto" w:fill="FFFFFF"/>
        </w:rPr>
        <w:t xml:space="preserve"> </w:t>
      </w:r>
      <w:r>
        <w:rPr>
          <w:shd w:val="clear" w:color="auto" w:fill="FFFFFF"/>
        </w:rPr>
        <w:t xml:space="preserve">about </w:t>
      </w:r>
      <w:r w:rsidRPr="002E2D98">
        <w:rPr>
          <w:shd w:val="clear" w:color="auto" w:fill="FFFFFF"/>
        </w:rPr>
        <w:t>customer</w:t>
      </w:r>
      <w:r>
        <w:rPr>
          <w:shd w:val="clear" w:color="auto" w:fill="FFFFFF"/>
        </w:rPr>
        <w:t xml:space="preserve">s’ </w:t>
      </w:r>
      <w:r w:rsidRPr="002E2D98">
        <w:rPr>
          <w:shd w:val="clear" w:color="auto" w:fill="FFFFFF"/>
        </w:rPr>
        <w:t xml:space="preserve">needs. Their input helps shape </w:t>
      </w:r>
      <w:r>
        <w:rPr>
          <w:shd w:val="clear" w:color="auto" w:fill="FFFFFF"/>
        </w:rPr>
        <w:t>customer-centric solutions</w:t>
      </w:r>
      <w:r w:rsidRPr="002E2D98">
        <w:rPr>
          <w:shd w:val="clear" w:color="auto" w:fill="FFFFFF"/>
        </w:rPr>
        <w:t xml:space="preserve"> and enhance the overall experience. This is particularly important in healthcare or agile pricing, where understanding and responding to customer behavior is essential for success. </w:t>
      </w:r>
    </w:p>
    <w:p w14:paraId="388D3D88" w14:textId="77777777" w:rsidR="00E23B5F" w:rsidRPr="006303B5" w:rsidRDefault="00E23B5F" w:rsidP="00E23B5F">
      <w:pPr>
        <w:rPr>
          <w:shd w:val="clear" w:color="auto" w:fill="FFFFFF"/>
        </w:rPr>
      </w:pPr>
      <w:r w:rsidRPr="006303B5">
        <w:rPr>
          <w:shd w:val="clear" w:color="auto" w:fill="FFFFFF"/>
        </w:rPr>
        <w:t>Robust data governance is also essential in this transformation. Establishing a s</w:t>
      </w:r>
      <w:r>
        <w:rPr>
          <w:shd w:val="clear" w:color="auto" w:fill="FFFFFF"/>
        </w:rPr>
        <w:t>olid</w:t>
      </w:r>
      <w:r w:rsidRPr="006303B5">
        <w:rPr>
          <w:shd w:val="clear" w:color="auto" w:fill="FFFFFF"/>
        </w:rPr>
        <w:t xml:space="preserve"> governance framework ensures that data assets are high-quality and reliable, which </w:t>
      </w:r>
      <w:r>
        <w:rPr>
          <w:shd w:val="clear" w:color="auto" w:fill="FFFFFF"/>
        </w:rPr>
        <w:t xml:space="preserve">lays the foundation for </w:t>
      </w:r>
      <w:r w:rsidRPr="006303B5">
        <w:rPr>
          <w:shd w:val="clear" w:color="auto" w:fill="FFFFFF"/>
        </w:rPr>
        <w:t xml:space="preserve">every part of the organization to leverage data effectively. Additionally, involving domain experts throughout the development and deployment of data solutions ensures </w:t>
      </w:r>
      <w:r>
        <w:rPr>
          <w:shd w:val="clear" w:color="auto" w:fill="FFFFFF"/>
        </w:rPr>
        <w:t xml:space="preserve">their close alignment with </w:t>
      </w:r>
      <w:r w:rsidRPr="006303B5">
        <w:rPr>
          <w:shd w:val="clear" w:color="auto" w:fill="FFFFFF"/>
        </w:rPr>
        <w:t>business</w:t>
      </w:r>
      <w:r>
        <w:rPr>
          <w:shd w:val="clear" w:color="auto" w:fill="FFFFFF"/>
        </w:rPr>
        <w:t xml:space="preserve"> needs</w:t>
      </w:r>
      <w:r w:rsidRPr="006303B5">
        <w:rPr>
          <w:shd w:val="clear" w:color="auto" w:fill="FFFFFF"/>
        </w:rPr>
        <w:t>. This tailored approach enhances the relevance and impact of data-driven initiatives.</w:t>
      </w:r>
    </w:p>
    <w:p w14:paraId="1D7E65E5" w14:textId="77777777" w:rsidR="00E23B5F" w:rsidRDefault="00E23B5F" w:rsidP="00E23B5F">
      <w:pPr>
        <w:rPr>
          <w:shd w:val="clear" w:color="auto" w:fill="FFFFFF"/>
        </w:rPr>
      </w:pPr>
      <w:r w:rsidRPr="006303B5">
        <w:rPr>
          <w:shd w:val="clear" w:color="auto" w:fill="FFFFFF"/>
        </w:rPr>
        <w:lastRenderedPageBreak/>
        <w:t xml:space="preserve">The journey towards becoming a data-driven organization is </w:t>
      </w:r>
      <w:r>
        <w:rPr>
          <w:shd w:val="clear" w:color="auto" w:fill="FFFFFF"/>
        </w:rPr>
        <w:t>not a one-time event, but an ongoing and dynamic process</w:t>
      </w:r>
      <w:r w:rsidRPr="006303B5">
        <w:rPr>
          <w:shd w:val="clear" w:color="auto" w:fill="FFFFFF"/>
        </w:rPr>
        <w:t xml:space="preserve">. It requires blending technological advancements with cultural shifts to foster a collaborative environment where human and machine interactions </w:t>
      </w:r>
      <w:r>
        <w:rPr>
          <w:shd w:val="clear" w:color="auto" w:fill="FFFFFF"/>
        </w:rPr>
        <w:t xml:space="preserve">could </w:t>
      </w:r>
      <w:r w:rsidRPr="006303B5">
        <w:rPr>
          <w:shd w:val="clear" w:color="auto" w:fill="FFFFFF"/>
        </w:rPr>
        <w:t xml:space="preserve">succeed. </w:t>
      </w:r>
      <w:r>
        <w:rPr>
          <w:shd w:val="clear" w:color="auto" w:fill="FFFFFF"/>
        </w:rPr>
        <w:t>Recent studies highlight that</w:t>
      </w:r>
      <w:r w:rsidRPr="006303B5">
        <w:rPr>
          <w:shd w:val="clear" w:color="auto" w:fill="FFFFFF"/>
        </w:rPr>
        <w:t xml:space="preserve"> businesses that integrate data into their strategic and operational processes are often more agile and better positioned to outpace their competitors.</w:t>
      </w:r>
    </w:p>
    <w:p w14:paraId="1517D3B7" w14:textId="77777777" w:rsidR="00E23B5F" w:rsidRPr="002E2D98" w:rsidRDefault="00E23B5F" w:rsidP="00E23B5F">
      <w:pPr>
        <w:rPr>
          <w:shd w:val="clear" w:color="auto" w:fill="FFFFFF"/>
        </w:rPr>
      </w:pPr>
    </w:p>
    <w:p w14:paraId="4E21DEEF" w14:textId="77777777" w:rsidR="00E23B5F" w:rsidRDefault="00E23B5F" w:rsidP="00E23B5F">
      <w:pPr>
        <w:pStyle w:val="Heading2"/>
      </w:pPr>
      <w:bookmarkStart w:id="106" w:name="_Toc191026953"/>
      <w:r>
        <w:t>Summary: Enhance Decision-Making with Human Insight and Data Analytics</w:t>
      </w:r>
      <w:bookmarkEnd w:id="106"/>
    </w:p>
    <w:p w14:paraId="04724D4C" w14:textId="77777777" w:rsidR="00E23B5F" w:rsidRDefault="00E23B5F" w:rsidP="00E23B5F">
      <w:r>
        <w:t>Integrating data analytics into business decision-making is now indispensable for modern enterprises to build a competitive edge. However, this integration poses challenges, particularly in synergizing human intuition and customer psychological behaviors.</w:t>
      </w:r>
    </w:p>
    <w:p w14:paraId="300C0140" w14:textId="77777777" w:rsidR="00E23B5F" w:rsidRDefault="00E23B5F" w:rsidP="00E23B5F">
      <w:r>
        <w:t xml:space="preserve">Data reveals what customers do, but human psychological insight helps understand why they act. Customers often decide based on emotions, biases, and heuristics rather than analysis.  Effective data-driven decisions must incorporate these factors to align business offers with customer expectations. </w:t>
      </w:r>
    </w:p>
    <w:p w14:paraId="5798C745" w14:textId="77777777" w:rsidR="00E23B5F" w:rsidRDefault="00E23B5F" w:rsidP="00E23B5F">
      <w:r>
        <w:t>In summary, achieving effective integration of data analytics into decision-making demands a balanced approach that emphasizes collaboration between human insight and data analytics, guided by a strategic mindset. Understanding customer behaviors, leveraging strategic frameworks, optimizing the value chain, and nurturing dynamic capabilities collectively enhance decision-making. The synergy between human expertise and machine intelligence is fundamental in building innovative, resilient, and data-driven businesses.</w:t>
      </w:r>
    </w:p>
    <w:p w14:paraId="2DF67FC8" w14:textId="1B2185CC" w:rsidR="00256D69" w:rsidRDefault="00256D69">
      <w:pPr>
        <w:spacing w:before="0" w:after="160" w:line="259" w:lineRule="auto"/>
      </w:pPr>
    </w:p>
    <w:bookmarkEnd w:id="3"/>
    <w:p w14:paraId="4E99876F" w14:textId="55B58DAB" w:rsidR="00CA0F5D" w:rsidRDefault="00CA0F5D" w:rsidP="000D3E9B"/>
    <w:sectPr w:rsidR="00CA0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5F7"/>
    <w:multiLevelType w:val="hybridMultilevel"/>
    <w:tmpl w:val="12C2E9BC"/>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12D31"/>
    <w:multiLevelType w:val="hybridMultilevel"/>
    <w:tmpl w:val="BA2CC092"/>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1ABA"/>
    <w:multiLevelType w:val="hybridMultilevel"/>
    <w:tmpl w:val="8984FE3A"/>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73367"/>
    <w:multiLevelType w:val="hybridMultilevel"/>
    <w:tmpl w:val="8838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367DD"/>
    <w:multiLevelType w:val="hybridMultilevel"/>
    <w:tmpl w:val="C1625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4421DF"/>
    <w:multiLevelType w:val="hybridMultilevel"/>
    <w:tmpl w:val="5CB86E5E"/>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A1297"/>
    <w:multiLevelType w:val="hybridMultilevel"/>
    <w:tmpl w:val="DD4C3780"/>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02E1F"/>
    <w:multiLevelType w:val="hybridMultilevel"/>
    <w:tmpl w:val="17CA07F8"/>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D076F"/>
    <w:multiLevelType w:val="hybridMultilevel"/>
    <w:tmpl w:val="CE0AE8C8"/>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F6EF8"/>
    <w:multiLevelType w:val="hybridMultilevel"/>
    <w:tmpl w:val="0100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B5E74"/>
    <w:multiLevelType w:val="hybridMultilevel"/>
    <w:tmpl w:val="6AB4FAD8"/>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F3CD5"/>
    <w:multiLevelType w:val="hybridMultilevel"/>
    <w:tmpl w:val="F5AC5208"/>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10AB7"/>
    <w:multiLevelType w:val="hybridMultilevel"/>
    <w:tmpl w:val="64C65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322E74"/>
    <w:multiLevelType w:val="hybridMultilevel"/>
    <w:tmpl w:val="89366106"/>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2C6007"/>
    <w:multiLevelType w:val="hybridMultilevel"/>
    <w:tmpl w:val="9462D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97550"/>
    <w:multiLevelType w:val="hybridMultilevel"/>
    <w:tmpl w:val="84820536"/>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B29D3"/>
    <w:multiLevelType w:val="hybridMultilevel"/>
    <w:tmpl w:val="8422B20C"/>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885264"/>
    <w:multiLevelType w:val="hybridMultilevel"/>
    <w:tmpl w:val="5E0ED5F0"/>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2C6CC0"/>
    <w:multiLevelType w:val="multilevel"/>
    <w:tmpl w:val="A77A7C8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0C35960"/>
    <w:multiLevelType w:val="hybridMultilevel"/>
    <w:tmpl w:val="DCFE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123C29"/>
    <w:multiLevelType w:val="hybridMultilevel"/>
    <w:tmpl w:val="67443A96"/>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4D291D"/>
    <w:multiLevelType w:val="hybridMultilevel"/>
    <w:tmpl w:val="CB40CCF2"/>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DD236E"/>
    <w:multiLevelType w:val="hybridMultilevel"/>
    <w:tmpl w:val="DB4A55AC"/>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7062F"/>
    <w:multiLevelType w:val="hybridMultilevel"/>
    <w:tmpl w:val="DF1A802C"/>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92DE8"/>
    <w:multiLevelType w:val="multilevel"/>
    <w:tmpl w:val="4E6E51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16E629B"/>
    <w:multiLevelType w:val="hybridMultilevel"/>
    <w:tmpl w:val="345C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34151"/>
    <w:multiLevelType w:val="hybridMultilevel"/>
    <w:tmpl w:val="212C1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CF20B7"/>
    <w:multiLevelType w:val="hybridMultilevel"/>
    <w:tmpl w:val="A862332E"/>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CD2BBA"/>
    <w:multiLevelType w:val="hybridMultilevel"/>
    <w:tmpl w:val="535C552C"/>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852A4D"/>
    <w:multiLevelType w:val="hybridMultilevel"/>
    <w:tmpl w:val="0592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0F3373"/>
    <w:multiLevelType w:val="hybridMultilevel"/>
    <w:tmpl w:val="081C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A077EC"/>
    <w:multiLevelType w:val="hybridMultilevel"/>
    <w:tmpl w:val="CDE4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DE7544"/>
    <w:multiLevelType w:val="hybridMultilevel"/>
    <w:tmpl w:val="0304FC76"/>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164C92"/>
    <w:multiLevelType w:val="hybridMultilevel"/>
    <w:tmpl w:val="7F6E0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074EF9"/>
    <w:multiLevelType w:val="hybridMultilevel"/>
    <w:tmpl w:val="C7CEA812"/>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942D3A"/>
    <w:multiLevelType w:val="hybridMultilevel"/>
    <w:tmpl w:val="9682A44C"/>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4314D3"/>
    <w:multiLevelType w:val="hybridMultilevel"/>
    <w:tmpl w:val="39D06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456DCF"/>
    <w:multiLevelType w:val="hybridMultilevel"/>
    <w:tmpl w:val="E46CA532"/>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40096C"/>
    <w:multiLevelType w:val="hybridMultilevel"/>
    <w:tmpl w:val="43E29994"/>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F779DF"/>
    <w:multiLevelType w:val="hybridMultilevel"/>
    <w:tmpl w:val="63369BC0"/>
    <w:lvl w:ilvl="0" w:tplc="4A66A31A">
      <w:numFmt w:val="bullet"/>
      <w:lvlText w:val="•"/>
      <w:lvlJc w:val="left"/>
      <w:pPr>
        <w:ind w:left="720" w:hanging="360"/>
      </w:pPr>
      <w:rPr>
        <w:rFonts w:ascii="Times New Roman" w:eastAsia="Times New Roman" w:hAnsi="Times New Roman" w:cs="Times New Roman" w:hint="default"/>
        <w:spacing w:val="0"/>
        <w:w w:val="99"/>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230426"/>
    <w:multiLevelType w:val="hybridMultilevel"/>
    <w:tmpl w:val="CB7CC8B8"/>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902058"/>
    <w:multiLevelType w:val="hybridMultilevel"/>
    <w:tmpl w:val="F718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B56641"/>
    <w:multiLevelType w:val="hybridMultilevel"/>
    <w:tmpl w:val="0C0ECA16"/>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D3394B"/>
    <w:multiLevelType w:val="hybridMultilevel"/>
    <w:tmpl w:val="404A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8F6FDC"/>
    <w:multiLevelType w:val="hybridMultilevel"/>
    <w:tmpl w:val="3CB43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4B317C"/>
    <w:multiLevelType w:val="hybridMultilevel"/>
    <w:tmpl w:val="4FB897D8"/>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906F11"/>
    <w:multiLevelType w:val="hybridMultilevel"/>
    <w:tmpl w:val="595C8FA8"/>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9D7920"/>
    <w:multiLevelType w:val="hybridMultilevel"/>
    <w:tmpl w:val="0E7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A42629"/>
    <w:multiLevelType w:val="hybridMultilevel"/>
    <w:tmpl w:val="33FCC892"/>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EC75BA"/>
    <w:multiLevelType w:val="hybridMultilevel"/>
    <w:tmpl w:val="7F5C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B46CE7"/>
    <w:multiLevelType w:val="hybridMultilevel"/>
    <w:tmpl w:val="6384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40616C"/>
    <w:multiLevelType w:val="hybridMultilevel"/>
    <w:tmpl w:val="9EB4E0C8"/>
    <w:lvl w:ilvl="0" w:tplc="8AE28AD6">
      <w:start w:val="2"/>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7733C6B"/>
    <w:multiLevelType w:val="multilevel"/>
    <w:tmpl w:val="A77A7C8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7886047E"/>
    <w:multiLevelType w:val="hybridMultilevel"/>
    <w:tmpl w:val="24AAD6EA"/>
    <w:lvl w:ilvl="0" w:tplc="E7CE78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AE5B5A"/>
    <w:multiLevelType w:val="hybridMultilevel"/>
    <w:tmpl w:val="9CFC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016648">
    <w:abstractNumId w:val="24"/>
  </w:num>
  <w:num w:numId="2" w16cid:durableId="1362512996">
    <w:abstractNumId w:val="49"/>
  </w:num>
  <w:num w:numId="3" w16cid:durableId="2126993765">
    <w:abstractNumId w:val="29"/>
  </w:num>
  <w:num w:numId="4" w16cid:durableId="6416188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386338">
    <w:abstractNumId w:val="16"/>
  </w:num>
  <w:num w:numId="6" w16cid:durableId="1942948971">
    <w:abstractNumId w:val="2"/>
  </w:num>
  <w:num w:numId="7" w16cid:durableId="1316179825">
    <w:abstractNumId w:val="51"/>
  </w:num>
  <w:num w:numId="8" w16cid:durableId="1676884574">
    <w:abstractNumId w:val="39"/>
  </w:num>
  <w:num w:numId="9" w16cid:durableId="523635690">
    <w:abstractNumId w:val="18"/>
  </w:num>
  <w:num w:numId="10" w16cid:durableId="781263603">
    <w:abstractNumId w:val="52"/>
  </w:num>
  <w:num w:numId="11" w16cid:durableId="49772950">
    <w:abstractNumId w:val="30"/>
  </w:num>
  <w:num w:numId="12" w16cid:durableId="1834951733">
    <w:abstractNumId w:val="21"/>
  </w:num>
  <w:num w:numId="13" w16cid:durableId="1015153427">
    <w:abstractNumId w:val="8"/>
  </w:num>
  <w:num w:numId="14" w16cid:durableId="229579535">
    <w:abstractNumId w:val="28"/>
  </w:num>
  <w:num w:numId="15" w16cid:durableId="2004891051">
    <w:abstractNumId w:val="11"/>
  </w:num>
  <w:num w:numId="16" w16cid:durableId="3481036">
    <w:abstractNumId w:val="34"/>
  </w:num>
  <w:num w:numId="17" w16cid:durableId="1977948251">
    <w:abstractNumId w:val="7"/>
  </w:num>
  <w:num w:numId="18" w16cid:durableId="194925812">
    <w:abstractNumId w:val="42"/>
  </w:num>
  <w:num w:numId="19" w16cid:durableId="1275158">
    <w:abstractNumId w:val="6"/>
  </w:num>
  <w:num w:numId="20" w16cid:durableId="1953704360">
    <w:abstractNumId w:val="26"/>
  </w:num>
  <w:num w:numId="21" w16cid:durableId="1074356819">
    <w:abstractNumId w:val="37"/>
  </w:num>
  <w:num w:numId="22" w16cid:durableId="402337606">
    <w:abstractNumId w:val="27"/>
  </w:num>
  <w:num w:numId="23" w16cid:durableId="830948942">
    <w:abstractNumId w:val="38"/>
  </w:num>
  <w:num w:numId="24" w16cid:durableId="926964664">
    <w:abstractNumId w:val="48"/>
  </w:num>
  <w:num w:numId="25" w16cid:durableId="434982773">
    <w:abstractNumId w:val="1"/>
  </w:num>
  <w:num w:numId="26" w16cid:durableId="135337830">
    <w:abstractNumId w:val="36"/>
  </w:num>
  <w:num w:numId="27" w16cid:durableId="166137120">
    <w:abstractNumId w:val="17"/>
  </w:num>
  <w:num w:numId="28" w16cid:durableId="611985377">
    <w:abstractNumId w:val="10"/>
  </w:num>
  <w:num w:numId="29" w16cid:durableId="1005473629">
    <w:abstractNumId w:val="46"/>
  </w:num>
  <w:num w:numId="30" w16cid:durableId="46495893">
    <w:abstractNumId w:val="20"/>
  </w:num>
  <w:num w:numId="31" w16cid:durableId="944851916">
    <w:abstractNumId w:val="5"/>
  </w:num>
  <w:num w:numId="32" w16cid:durableId="946959524">
    <w:abstractNumId w:val="53"/>
  </w:num>
  <w:num w:numId="33" w16cid:durableId="1020205909">
    <w:abstractNumId w:val="22"/>
  </w:num>
  <w:num w:numId="34" w16cid:durableId="1782262816">
    <w:abstractNumId w:val="0"/>
  </w:num>
  <w:num w:numId="35" w16cid:durableId="754132175">
    <w:abstractNumId w:val="32"/>
  </w:num>
  <w:num w:numId="36" w16cid:durableId="826287227">
    <w:abstractNumId w:val="23"/>
  </w:num>
  <w:num w:numId="37" w16cid:durableId="987440402">
    <w:abstractNumId w:val="40"/>
  </w:num>
  <w:num w:numId="38" w16cid:durableId="1972443595">
    <w:abstractNumId w:val="15"/>
  </w:num>
  <w:num w:numId="39" w16cid:durableId="33698649">
    <w:abstractNumId w:val="13"/>
  </w:num>
  <w:num w:numId="40" w16cid:durableId="124660297">
    <w:abstractNumId w:val="45"/>
  </w:num>
  <w:num w:numId="41" w16cid:durableId="1973712388">
    <w:abstractNumId w:val="35"/>
  </w:num>
  <w:num w:numId="42" w16cid:durableId="2126532313">
    <w:abstractNumId w:val="19"/>
  </w:num>
  <w:num w:numId="43" w16cid:durableId="347605866">
    <w:abstractNumId w:val="9"/>
  </w:num>
  <w:num w:numId="44" w16cid:durableId="1223905447">
    <w:abstractNumId w:val="47"/>
  </w:num>
  <w:num w:numId="45" w16cid:durableId="1673727050">
    <w:abstractNumId w:val="4"/>
  </w:num>
  <w:num w:numId="46" w16cid:durableId="1853757817">
    <w:abstractNumId w:val="43"/>
  </w:num>
  <w:num w:numId="47" w16cid:durableId="363093860">
    <w:abstractNumId w:val="25"/>
  </w:num>
  <w:num w:numId="48" w16cid:durableId="1795442466">
    <w:abstractNumId w:val="12"/>
  </w:num>
  <w:num w:numId="49" w16cid:durableId="31614177">
    <w:abstractNumId w:val="44"/>
  </w:num>
  <w:num w:numId="50" w16cid:durableId="237131606">
    <w:abstractNumId w:val="33"/>
  </w:num>
  <w:num w:numId="51" w16cid:durableId="833256475">
    <w:abstractNumId w:val="50"/>
  </w:num>
  <w:num w:numId="52" w16cid:durableId="1168641885">
    <w:abstractNumId w:val="14"/>
  </w:num>
  <w:num w:numId="53" w16cid:durableId="1485664927">
    <w:abstractNumId w:val="3"/>
  </w:num>
  <w:num w:numId="54" w16cid:durableId="2056195021">
    <w:abstractNumId w:val="41"/>
  </w:num>
  <w:num w:numId="55" w16cid:durableId="288511841">
    <w:abstractNumId w:val="54"/>
  </w:num>
  <w:num w:numId="56" w16cid:durableId="600452550">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379"/>
    <w:rsid w:val="00000087"/>
    <w:rsid w:val="0000112C"/>
    <w:rsid w:val="0000193D"/>
    <w:rsid w:val="00001E91"/>
    <w:rsid w:val="00003875"/>
    <w:rsid w:val="000038CB"/>
    <w:rsid w:val="000064B5"/>
    <w:rsid w:val="000067C3"/>
    <w:rsid w:val="00007D90"/>
    <w:rsid w:val="00010EF5"/>
    <w:rsid w:val="00011359"/>
    <w:rsid w:val="00013299"/>
    <w:rsid w:val="00014375"/>
    <w:rsid w:val="00014DCF"/>
    <w:rsid w:val="000156C9"/>
    <w:rsid w:val="000168A7"/>
    <w:rsid w:val="00020A8E"/>
    <w:rsid w:val="0002450C"/>
    <w:rsid w:val="00024578"/>
    <w:rsid w:val="00025047"/>
    <w:rsid w:val="000250CB"/>
    <w:rsid w:val="00025596"/>
    <w:rsid w:val="0002613B"/>
    <w:rsid w:val="00026224"/>
    <w:rsid w:val="00026495"/>
    <w:rsid w:val="00027F2E"/>
    <w:rsid w:val="00031D41"/>
    <w:rsid w:val="00031DCB"/>
    <w:rsid w:val="00032E1B"/>
    <w:rsid w:val="00037624"/>
    <w:rsid w:val="00040490"/>
    <w:rsid w:val="00041513"/>
    <w:rsid w:val="000448D0"/>
    <w:rsid w:val="00044B53"/>
    <w:rsid w:val="00045D1B"/>
    <w:rsid w:val="00047B3D"/>
    <w:rsid w:val="00047C02"/>
    <w:rsid w:val="000502C1"/>
    <w:rsid w:val="0005252D"/>
    <w:rsid w:val="00054D3A"/>
    <w:rsid w:val="00056F1B"/>
    <w:rsid w:val="00060DAC"/>
    <w:rsid w:val="00060DF5"/>
    <w:rsid w:val="00062B7B"/>
    <w:rsid w:val="00062E23"/>
    <w:rsid w:val="000637F6"/>
    <w:rsid w:val="000641F6"/>
    <w:rsid w:val="000664E5"/>
    <w:rsid w:val="000726EF"/>
    <w:rsid w:val="00072B8B"/>
    <w:rsid w:val="000770DF"/>
    <w:rsid w:val="00080C46"/>
    <w:rsid w:val="000870F9"/>
    <w:rsid w:val="00087EB4"/>
    <w:rsid w:val="00090246"/>
    <w:rsid w:val="00092E68"/>
    <w:rsid w:val="00094959"/>
    <w:rsid w:val="00095AC7"/>
    <w:rsid w:val="0009631C"/>
    <w:rsid w:val="000A033D"/>
    <w:rsid w:val="000A1194"/>
    <w:rsid w:val="000A14A1"/>
    <w:rsid w:val="000A331D"/>
    <w:rsid w:val="000A3704"/>
    <w:rsid w:val="000A3F06"/>
    <w:rsid w:val="000A5A3B"/>
    <w:rsid w:val="000A65D3"/>
    <w:rsid w:val="000A6B6F"/>
    <w:rsid w:val="000B056C"/>
    <w:rsid w:val="000B0570"/>
    <w:rsid w:val="000B0723"/>
    <w:rsid w:val="000B0EF9"/>
    <w:rsid w:val="000B142F"/>
    <w:rsid w:val="000B17F5"/>
    <w:rsid w:val="000B1D74"/>
    <w:rsid w:val="000B2AF2"/>
    <w:rsid w:val="000B4271"/>
    <w:rsid w:val="000B5374"/>
    <w:rsid w:val="000B603B"/>
    <w:rsid w:val="000B6BFA"/>
    <w:rsid w:val="000C0495"/>
    <w:rsid w:val="000C096D"/>
    <w:rsid w:val="000C1183"/>
    <w:rsid w:val="000C2747"/>
    <w:rsid w:val="000C2C2B"/>
    <w:rsid w:val="000C3163"/>
    <w:rsid w:val="000C363D"/>
    <w:rsid w:val="000C44CD"/>
    <w:rsid w:val="000C506E"/>
    <w:rsid w:val="000C5B42"/>
    <w:rsid w:val="000C7590"/>
    <w:rsid w:val="000C7AFE"/>
    <w:rsid w:val="000D019B"/>
    <w:rsid w:val="000D05CA"/>
    <w:rsid w:val="000D3E9B"/>
    <w:rsid w:val="000D4E9F"/>
    <w:rsid w:val="000D5A31"/>
    <w:rsid w:val="000D6DED"/>
    <w:rsid w:val="000D70A5"/>
    <w:rsid w:val="000E1DE0"/>
    <w:rsid w:val="000E20E8"/>
    <w:rsid w:val="000E5467"/>
    <w:rsid w:val="000E5A44"/>
    <w:rsid w:val="000F29B9"/>
    <w:rsid w:val="000F3588"/>
    <w:rsid w:val="000F47CB"/>
    <w:rsid w:val="000F51A2"/>
    <w:rsid w:val="000F72B7"/>
    <w:rsid w:val="000F7EDB"/>
    <w:rsid w:val="00101815"/>
    <w:rsid w:val="0010210D"/>
    <w:rsid w:val="00102624"/>
    <w:rsid w:val="001027CE"/>
    <w:rsid w:val="00103296"/>
    <w:rsid w:val="00103D33"/>
    <w:rsid w:val="0010492F"/>
    <w:rsid w:val="001063D1"/>
    <w:rsid w:val="0010678C"/>
    <w:rsid w:val="0010788A"/>
    <w:rsid w:val="001105A6"/>
    <w:rsid w:val="00111820"/>
    <w:rsid w:val="001129ED"/>
    <w:rsid w:val="0011318D"/>
    <w:rsid w:val="001138C3"/>
    <w:rsid w:val="00113D98"/>
    <w:rsid w:val="00114DDB"/>
    <w:rsid w:val="00115E2D"/>
    <w:rsid w:val="00116654"/>
    <w:rsid w:val="00120268"/>
    <w:rsid w:val="001224D8"/>
    <w:rsid w:val="001240DB"/>
    <w:rsid w:val="00124D86"/>
    <w:rsid w:val="00126311"/>
    <w:rsid w:val="0012644D"/>
    <w:rsid w:val="00126476"/>
    <w:rsid w:val="00127391"/>
    <w:rsid w:val="00132105"/>
    <w:rsid w:val="00132A7E"/>
    <w:rsid w:val="00135272"/>
    <w:rsid w:val="00137A37"/>
    <w:rsid w:val="00137BB4"/>
    <w:rsid w:val="001411FD"/>
    <w:rsid w:val="00141DA0"/>
    <w:rsid w:val="0014276C"/>
    <w:rsid w:val="00142F14"/>
    <w:rsid w:val="00143F89"/>
    <w:rsid w:val="001444D6"/>
    <w:rsid w:val="00145C97"/>
    <w:rsid w:val="00146154"/>
    <w:rsid w:val="00147120"/>
    <w:rsid w:val="00147740"/>
    <w:rsid w:val="00150378"/>
    <w:rsid w:val="00150A3C"/>
    <w:rsid w:val="00152F20"/>
    <w:rsid w:val="0015382F"/>
    <w:rsid w:val="00154C17"/>
    <w:rsid w:val="001565F7"/>
    <w:rsid w:val="00156F35"/>
    <w:rsid w:val="00157EB4"/>
    <w:rsid w:val="001610DB"/>
    <w:rsid w:val="00161E12"/>
    <w:rsid w:val="0016256D"/>
    <w:rsid w:val="0016277A"/>
    <w:rsid w:val="00162993"/>
    <w:rsid w:val="00163005"/>
    <w:rsid w:val="0016593F"/>
    <w:rsid w:val="001663CF"/>
    <w:rsid w:val="001668E1"/>
    <w:rsid w:val="001710CB"/>
    <w:rsid w:val="0017116A"/>
    <w:rsid w:val="00175CFB"/>
    <w:rsid w:val="001771C8"/>
    <w:rsid w:val="001811A3"/>
    <w:rsid w:val="00182968"/>
    <w:rsid w:val="001833A6"/>
    <w:rsid w:val="001852AC"/>
    <w:rsid w:val="00186483"/>
    <w:rsid w:val="00186CBC"/>
    <w:rsid w:val="00190120"/>
    <w:rsid w:val="001926D0"/>
    <w:rsid w:val="00194156"/>
    <w:rsid w:val="001941DD"/>
    <w:rsid w:val="0019798C"/>
    <w:rsid w:val="001A0F65"/>
    <w:rsid w:val="001A11BA"/>
    <w:rsid w:val="001A1D22"/>
    <w:rsid w:val="001A3073"/>
    <w:rsid w:val="001A4C50"/>
    <w:rsid w:val="001A52C3"/>
    <w:rsid w:val="001A5322"/>
    <w:rsid w:val="001A6054"/>
    <w:rsid w:val="001A6451"/>
    <w:rsid w:val="001A6ACC"/>
    <w:rsid w:val="001A6F2F"/>
    <w:rsid w:val="001A74CF"/>
    <w:rsid w:val="001A787F"/>
    <w:rsid w:val="001B21F9"/>
    <w:rsid w:val="001B2906"/>
    <w:rsid w:val="001B2C19"/>
    <w:rsid w:val="001B3292"/>
    <w:rsid w:val="001B3A50"/>
    <w:rsid w:val="001B6729"/>
    <w:rsid w:val="001B6752"/>
    <w:rsid w:val="001C19AB"/>
    <w:rsid w:val="001C203F"/>
    <w:rsid w:val="001C23F4"/>
    <w:rsid w:val="001C2D7C"/>
    <w:rsid w:val="001C2E54"/>
    <w:rsid w:val="001C3455"/>
    <w:rsid w:val="001C482D"/>
    <w:rsid w:val="001C4A4F"/>
    <w:rsid w:val="001C5663"/>
    <w:rsid w:val="001C61DD"/>
    <w:rsid w:val="001C627F"/>
    <w:rsid w:val="001C66A3"/>
    <w:rsid w:val="001C7044"/>
    <w:rsid w:val="001C78C0"/>
    <w:rsid w:val="001D1C18"/>
    <w:rsid w:val="001D4DC0"/>
    <w:rsid w:val="001D5E37"/>
    <w:rsid w:val="001D75DC"/>
    <w:rsid w:val="001D7841"/>
    <w:rsid w:val="001D7B22"/>
    <w:rsid w:val="001E1A10"/>
    <w:rsid w:val="001E1E3C"/>
    <w:rsid w:val="001E2812"/>
    <w:rsid w:val="001E5C58"/>
    <w:rsid w:val="001E5E21"/>
    <w:rsid w:val="001E5EAA"/>
    <w:rsid w:val="001E7DCD"/>
    <w:rsid w:val="001F02BE"/>
    <w:rsid w:val="001F175B"/>
    <w:rsid w:val="001F1CE0"/>
    <w:rsid w:val="001F2689"/>
    <w:rsid w:val="001F4682"/>
    <w:rsid w:val="001F590C"/>
    <w:rsid w:val="001F5A39"/>
    <w:rsid w:val="0020066C"/>
    <w:rsid w:val="00201228"/>
    <w:rsid w:val="002017C5"/>
    <w:rsid w:val="00202A85"/>
    <w:rsid w:val="00205C68"/>
    <w:rsid w:val="00207B7D"/>
    <w:rsid w:val="00210E09"/>
    <w:rsid w:val="00211053"/>
    <w:rsid w:val="002116CC"/>
    <w:rsid w:val="00212A76"/>
    <w:rsid w:val="002133B3"/>
    <w:rsid w:val="00213423"/>
    <w:rsid w:val="00213B0E"/>
    <w:rsid w:val="00216509"/>
    <w:rsid w:val="00217D31"/>
    <w:rsid w:val="002214AF"/>
    <w:rsid w:val="002217AC"/>
    <w:rsid w:val="0022326C"/>
    <w:rsid w:val="00223567"/>
    <w:rsid w:val="00224039"/>
    <w:rsid w:val="002243DE"/>
    <w:rsid w:val="0022592F"/>
    <w:rsid w:val="00226C6F"/>
    <w:rsid w:val="00227506"/>
    <w:rsid w:val="00230BE1"/>
    <w:rsid w:val="00232BC5"/>
    <w:rsid w:val="00232EEE"/>
    <w:rsid w:val="00233158"/>
    <w:rsid w:val="002338F0"/>
    <w:rsid w:val="00233B95"/>
    <w:rsid w:val="00235093"/>
    <w:rsid w:val="00241762"/>
    <w:rsid w:val="0024182A"/>
    <w:rsid w:val="00241D5C"/>
    <w:rsid w:val="0024293A"/>
    <w:rsid w:val="00242AE7"/>
    <w:rsid w:val="00243431"/>
    <w:rsid w:val="0024454A"/>
    <w:rsid w:val="00246A0A"/>
    <w:rsid w:val="00246B54"/>
    <w:rsid w:val="00246FBB"/>
    <w:rsid w:val="002471E6"/>
    <w:rsid w:val="002501A5"/>
    <w:rsid w:val="00250BC5"/>
    <w:rsid w:val="0025184C"/>
    <w:rsid w:val="0025262B"/>
    <w:rsid w:val="00252C5E"/>
    <w:rsid w:val="00252D1A"/>
    <w:rsid w:val="00253A2E"/>
    <w:rsid w:val="00254018"/>
    <w:rsid w:val="00254461"/>
    <w:rsid w:val="00255E97"/>
    <w:rsid w:val="00256D69"/>
    <w:rsid w:val="002575CD"/>
    <w:rsid w:val="00260759"/>
    <w:rsid w:val="00262232"/>
    <w:rsid w:val="002631D6"/>
    <w:rsid w:val="002639A6"/>
    <w:rsid w:val="00270D69"/>
    <w:rsid w:val="00271501"/>
    <w:rsid w:val="00271A59"/>
    <w:rsid w:val="00272C72"/>
    <w:rsid w:val="00273737"/>
    <w:rsid w:val="00275585"/>
    <w:rsid w:val="00275CCF"/>
    <w:rsid w:val="002778CB"/>
    <w:rsid w:val="00277AD9"/>
    <w:rsid w:val="0028016B"/>
    <w:rsid w:val="002805A7"/>
    <w:rsid w:val="0028263E"/>
    <w:rsid w:val="00283049"/>
    <w:rsid w:val="002836A4"/>
    <w:rsid w:val="00284360"/>
    <w:rsid w:val="00285040"/>
    <w:rsid w:val="00285BC9"/>
    <w:rsid w:val="00285E66"/>
    <w:rsid w:val="00287380"/>
    <w:rsid w:val="0029037D"/>
    <w:rsid w:val="00290B05"/>
    <w:rsid w:val="00292A05"/>
    <w:rsid w:val="0029310D"/>
    <w:rsid w:val="002949C0"/>
    <w:rsid w:val="00294BD1"/>
    <w:rsid w:val="00294FAC"/>
    <w:rsid w:val="0029544D"/>
    <w:rsid w:val="00296DF7"/>
    <w:rsid w:val="002A0213"/>
    <w:rsid w:val="002A03CC"/>
    <w:rsid w:val="002A0A70"/>
    <w:rsid w:val="002A207A"/>
    <w:rsid w:val="002A2C7E"/>
    <w:rsid w:val="002A2DF6"/>
    <w:rsid w:val="002A33CD"/>
    <w:rsid w:val="002A77FA"/>
    <w:rsid w:val="002A7FE6"/>
    <w:rsid w:val="002B0ADA"/>
    <w:rsid w:val="002B0B7E"/>
    <w:rsid w:val="002B2D8A"/>
    <w:rsid w:val="002B3E63"/>
    <w:rsid w:val="002B3FC4"/>
    <w:rsid w:val="002B4378"/>
    <w:rsid w:val="002B5895"/>
    <w:rsid w:val="002B620C"/>
    <w:rsid w:val="002B6643"/>
    <w:rsid w:val="002B7DCF"/>
    <w:rsid w:val="002C000E"/>
    <w:rsid w:val="002C1124"/>
    <w:rsid w:val="002C3692"/>
    <w:rsid w:val="002C5D8E"/>
    <w:rsid w:val="002C605E"/>
    <w:rsid w:val="002C633B"/>
    <w:rsid w:val="002C66B3"/>
    <w:rsid w:val="002C7187"/>
    <w:rsid w:val="002C7A4F"/>
    <w:rsid w:val="002D164C"/>
    <w:rsid w:val="002D2DF8"/>
    <w:rsid w:val="002D4C7E"/>
    <w:rsid w:val="002D526E"/>
    <w:rsid w:val="002D55E0"/>
    <w:rsid w:val="002D5715"/>
    <w:rsid w:val="002D5DBB"/>
    <w:rsid w:val="002D7C7E"/>
    <w:rsid w:val="002E0512"/>
    <w:rsid w:val="002E06EA"/>
    <w:rsid w:val="002E0E03"/>
    <w:rsid w:val="002E25B5"/>
    <w:rsid w:val="002E29E7"/>
    <w:rsid w:val="002E2D98"/>
    <w:rsid w:val="002E3BAE"/>
    <w:rsid w:val="002E44EE"/>
    <w:rsid w:val="002E56A0"/>
    <w:rsid w:val="002E7789"/>
    <w:rsid w:val="002F0440"/>
    <w:rsid w:val="002F24C0"/>
    <w:rsid w:val="002F3255"/>
    <w:rsid w:val="002F694F"/>
    <w:rsid w:val="00301EFD"/>
    <w:rsid w:val="0030317E"/>
    <w:rsid w:val="00303F2B"/>
    <w:rsid w:val="0030601B"/>
    <w:rsid w:val="003060CE"/>
    <w:rsid w:val="003062B7"/>
    <w:rsid w:val="003062FE"/>
    <w:rsid w:val="003067DC"/>
    <w:rsid w:val="003076F9"/>
    <w:rsid w:val="003119B1"/>
    <w:rsid w:val="0031307F"/>
    <w:rsid w:val="00313B37"/>
    <w:rsid w:val="00314434"/>
    <w:rsid w:val="00314586"/>
    <w:rsid w:val="003147AE"/>
    <w:rsid w:val="00314A9A"/>
    <w:rsid w:val="00316E31"/>
    <w:rsid w:val="00321362"/>
    <w:rsid w:val="00322251"/>
    <w:rsid w:val="00323242"/>
    <w:rsid w:val="00323869"/>
    <w:rsid w:val="00323C8D"/>
    <w:rsid w:val="00323D13"/>
    <w:rsid w:val="0032523E"/>
    <w:rsid w:val="00325B3B"/>
    <w:rsid w:val="00325CEA"/>
    <w:rsid w:val="00327581"/>
    <w:rsid w:val="00330514"/>
    <w:rsid w:val="00331474"/>
    <w:rsid w:val="00333625"/>
    <w:rsid w:val="00333CC7"/>
    <w:rsid w:val="00335CFF"/>
    <w:rsid w:val="003373AF"/>
    <w:rsid w:val="00340EA3"/>
    <w:rsid w:val="00341572"/>
    <w:rsid w:val="003422A4"/>
    <w:rsid w:val="0034302C"/>
    <w:rsid w:val="003431FC"/>
    <w:rsid w:val="00345338"/>
    <w:rsid w:val="00346842"/>
    <w:rsid w:val="003479CE"/>
    <w:rsid w:val="003502B4"/>
    <w:rsid w:val="00350504"/>
    <w:rsid w:val="00350CBE"/>
    <w:rsid w:val="0035115E"/>
    <w:rsid w:val="0035146D"/>
    <w:rsid w:val="00353FF9"/>
    <w:rsid w:val="003541A0"/>
    <w:rsid w:val="003552D0"/>
    <w:rsid w:val="0035553C"/>
    <w:rsid w:val="003557AB"/>
    <w:rsid w:val="00355D18"/>
    <w:rsid w:val="003568FF"/>
    <w:rsid w:val="00360183"/>
    <w:rsid w:val="00360AF1"/>
    <w:rsid w:val="00360C62"/>
    <w:rsid w:val="00362830"/>
    <w:rsid w:val="00363A07"/>
    <w:rsid w:val="0036518A"/>
    <w:rsid w:val="003671AB"/>
    <w:rsid w:val="0037008B"/>
    <w:rsid w:val="00370C40"/>
    <w:rsid w:val="00370E59"/>
    <w:rsid w:val="00372096"/>
    <w:rsid w:val="00373275"/>
    <w:rsid w:val="00374D69"/>
    <w:rsid w:val="00375B9D"/>
    <w:rsid w:val="00381703"/>
    <w:rsid w:val="003821BA"/>
    <w:rsid w:val="00382554"/>
    <w:rsid w:val="00383EE8"/>
    <w:rsid w:val="00384A1C"/>
    <w:rsid w:val="0038680A"/>
    <w:rsid w:val="0038736D"/>
    <w:rsid w:val="00387623"/>
    <w:rsid w:val="0039133F"/>
    <w:rsid w:val="003914B6"/>
    <w:rsid w:val="0039204B"/>
    <w:rsid w:val="003946FA"/>
    <w:rsid w:val="003A1CC3"/>
    <w:rsid w:val="003A30E9"/>
    <w:rsid w:val="003A3D49"/>
    <w:rsid w:val="003A3D5B"/>
    <w:rsid w:val="003A53C6"/>
    <w:rsid w:val="003A5A42"/>
    <w:rsid w:val="003A5D80"/>
    <w:rsid w:val="003A64AC"/>
    <w:rsid w:val="003A6E5F"/>
    <w:rsid w:val="003A769E"/>
    <w:rsid w:val="003B051F"/>
    <w:rsid w:val="003B2679"/>
    <w:rsid w:val="003B29B1"/>
    <w:rsid w:val="003B2CC2"/>
    <w:rsid w:val="003B3594"/>
    <w:rsid w:val="003B59D8"/>
    <w:rsid w:val="003B5EBB"/>
    <w:rsid w:val="003C00FE"/>
    <w:rsid w:val="003C192A"/>
    <w:rsid w:val="003C2CE8"/>
    <w:rsid w:val="003C4172"/>
    <w:rsid w:val="003C48C7"/>
    <w:rsid w:val="003C5ADF"/>
    <w:rsid w:val="003D196E"/>
    <w:rsid w:val="003D1E5F"/>
    <w:rsid w:val="003D284E"/>
    <w:rsid w:val="003D3EA9"/>
    <w:rsid w:val="003D49D1"/>
    <w:rsid w:val="003D505E"/>
    <w:rsid w:val="003D6CCF"/>
    <w:rsid w:val="003E080E"/>
    <w:rsid w:val="003E08F3"/>
    <w:rsid w:val="003E101B"/>
    <w:rsid w:val="003E1851"/>
    <w:rsid w:val="003E21FB"/>
    <w:rsid w:val="003E31FE"/>
    <w:rsid w:val="003E4950"/>
    <w:rsid w:val="003E4F52"/>
    <w:rsid w:val="003E7882"/>
    <w:rsid w:val="003E7C7C"/>
    <w:rsid w:val="003F02EB"/>
    <w:rsid w:val="003F032E"/>
    <w:rsid w:val="003F1E18"/>
    <w:rsid w:val="003F3363"/>
    <w:rsid w:val="003F4B8A"/>
    <w:rsid w:val="003F7659"/>
    <w:rsid w:val="003F77DE"/>
    <w:rsid w:val="004011C3"/>
    <w:rsid w:val="0040489E"/>
    <w:rsid w:val="00404FC2"/>
    <w:rsid w:val="00405173"/>
    <w:rsid w:val="00410643"/>
    <w:rsid w:val="00411C08"/>
    <w:rsid w:val="004136E5"/>
    <w:rsid w:val="00414CA4"/>
    <w:rsid w:val="0041509C"/>
    <w:rsid w:val="004161F3"/>
    <w:rsid w:val="00416F6B"/>
    <w:rsid w:val="004179F4"/>
    <w:rsid w:val="004205BC"/>
    <w:rsid w:val="0042079B"/>
    <w:rsid w:val="00421C17"/>
    <w:rsid w:val="00422D0F"/>
    <w:rsid w:val="00422FAE"/>
    <w:rsid w:val="004239CD"/>
    <w:rsid w:val="00424817"/>
    <w:rsid w:val="004266AA"/>
    <w:rsid w:val="00426715"/>
    <w:rsid w:val="00426DC6"/>
    <w:rsid w:val="00427EFF"/>
    <w:rsid w:val="004324CC"/>
    <w:rsid w:val="004343FD"/>
    <w:rsid w:val="0043455B"/>
    <w:rsid w:val="00434D0F"/>
    <w:rsid w:val="00434D72"/>
    <w:rsid w:val="004353EF"/>
    <w:rsid w:val="00436783"/>
    <w:rsid w:val="00441082"/>
    <w:rsid w:val="004421EE"/>
    <w:rsid w:val="004424CB"/>
    <w:rsid w:val="00442783"/>
    <w:rsid w:val="00442FE7"/>
    <w:rsid w:val="004437A5"/>
    <w:rsid w:val="004449C1"/>
    <w:rsid w:val="0044516B"/>
    <w:rsid w:val="00446276"/>
    <w:rsid w:val="00447E0D"/>
    <w:rsid w:val="00450E12"/>
    <w:rsid w:val="00452501"/>
    <w:rsid w:val="00454FF6"/>
    <w:rsid w:val="004570C0"/>
    <w:rsid w:val="004607C7"/>
    <w:rsid w:val="00460ED9"/>
    <w:rsid w:val="00462625"/>
    <w:rsid w:val="00462E0F"/>
    <w:rsid w:val="00466924"/>
    <w:rsid w:val="004702F6"/>
    <w:rsid w:val="0047253B"/>
    <w:rsid w:val="00473788"/>
    <w:rsid w:val="00473969"/>
    <w:rsid w:val="00474D62"/>
    <w:rsid w:val="0047646D"/>
    <w:rsid w:val="00481577"/>
    <w:rsid w:val="004826B3"/>
    <w:rsid w:val="00484568"/>
    <w:rsid w:val="004854AA"/>
    <w:rsid w:val="004869B2"/>
    <w:rsid w:val="00487444"/>
    <w:rsid w:val="004927DD"/>
    <w:rsid w:val="0049326A"/>
    <w:rsid w:val="00496BFE"/>
    <w:rsid w:val="004A0994"/>
    <w:rsid w:val="004A110F"/>
    <w:rsid w:val="004A2CDD"/>
    <w:rsid w:val="004A361F"/>
    <w:rsid w:val="004A3BC2"/>
    <w:rsid w:val="004A4906"/>
    <w:rsid w:val="004A5C38"/>
    <w:rsid w:val="004A6207"/>
    <w:rsid w:val="004A6D25"/>
    <w:rsid w:val="004A7453"/>
    <w:rsid w:val="004A74F9"/>
    <w:rsid w:val="004B093B"/>
    <w:rsid w:val="004B0DDF"/>
    <w:rsid w:val="004B1F8D"/>
    <w:rsid w:val="004B2930"/>
    <w:rsid w:val="004B2C68"/>
    <w:rsid w:val="004B34CF"/>
    <w:rsid w:val="004B36EB"/>
    <w:rsid w:val="004B3A89"/>
    <w:rsid w:val="004B79B7"/>
    <w:rsid w:val="004C084E"/>
    <w:rsid w:val="004C1912"/>
    <w:rsid w:val="004C2831"/>
    <w:rsid w:val="004C29A6"/>
    <w:rsid w:val="004C2BF4"/>
    <w:rsid w:val="004C40A3"/>
    <w:rsid w:val="004C4766"/>
    <w:rsid w:val="004C6A65"/>
    <w:rsid w:val="004D143D"/>
    <w:rsid w:val="004D22AA"/>
    <w:rsid w:val="004D2E88"/>
    <w:rsid w:val="004D35C9"/>
    <w:rsid w:val="004D45FB"/>
    <w:rsid w:val="004D4FCD"/>
    <w:rsid w:val="004D52C1"/>
    <w:rsid w:val="004D6028"/>
    <w:rsid w:val="004D62A3"/>
    <w:rsid w:val="004D72E6"/>
    <w:rsid w:val="004D7BFF"/>
    <w:rsid w:val="004E1C77"/>
    <w:rsid w:val="004E333F"/>
    <w:rsid w:val="004E51A6"/>
    <w:rsid w:val="004E61E3"/>
    <w:rsid w:val="004E6442"/>
    <w:rsid w:val="004E6474"/>
    <w:rsid w:val="004E6BB0"/>
    <w:rsid w:val="004F0EC4"/>
    <w:rsid w:val="004F1EC0"/>
    <w:rsid w:val="004F27BF"/>
    <w:rsid w:val="004F4B43"/>
    <w:rsid w:val="004F5F63"/>
    <w:rsid w:val="004F6819"/>
    <w:rsid w:val="004F6B81"/>
    <w:rsid w:val="00501219"/>
    <w:rsid w:val="005018B5"/>
    <w:rsid w:val="00504EF8"/>
    <w:rsid w:val="0050611D"/>
    <w:rsid w:val="005068F2"/>
    <w:rsid w:val="005073C6"/>
    <w:rsid w:val="005107A6"/>
    <w:rsid w:val="00513C6C"/>
    <w:rsid w:val="00514414"/>
    <w:rsid w:val="005150A7"/>
    <w:rsid w:val="00515AB0"/>
    <w:rsid w:val="00515B11"/>
    <w:rsid w:val="0051684E"/>
    <w:rsid w:val="005175D4"/>
    <w:rsid w:val="00517773"/>
    <w:rsid w:val="00520A8B"/>
    <w:rsid w:val="00521771"/>
    <w:rsid w:val="00521CB2"/>
    <w:rsid w:val="0052208B"/>
    <w:rsid w:val="00522C63"/>
    <w:rsid w:val="0052421B"/>
    <w:rsid w:val="00526314"/>
    <w:rsid w:val="0053219E"/>
    <w:rsid w:val="00532EE7"/>
    <w:rsid w:val="005336FF"/>
    <w:rsid w:val="005354EB"/>
    <w:rsid w:val="00536302"/>
    <w:rsid w:val="00536E35"/>
    <w:rsid w:val="005374AE"/>
    <w:rsid w:val="00537FFE"/>
    <w:rsid w:val="00540AF2"/>
    <w:rsid w:val="005416B2"/>
    <w:rsid w:val="005428BF"/>
    <w:rsid w:val="00543643"/>
    <w:rsid w:val="00543BC2"/>
    <w:rsid w:val="00543C6F"/>
    <w:rsid w:val="0054511F"/>
    <w:rsid w:val="005508FD"/>
    <w:rsid w:val="00552277"/>
    <w:rsid w:val="00552F4B"/>
    <w:rsid w:val="00552F53"/>
    <w:rsid w:val="0055390B"/>
    <w:rsid w:val="00553A89"/>
    <w:rsid w:val="00553F6E"/>
    <w:rsid w:val="005564DA"/>
    <w:rsid w:val="005570B5"/>
    <w:rsid w:val="0056039C"/>
    <w:rsid w:val="00560563"/>
    <w:rsid w:val="00560624"/>
    <w:rsid w:val="00560C0C"/>
    <w:rsid w:val="00561A8A"/>
    <w:rsid w:val="00561D74"/>
    <w:rsid w:val="0056466A"/>
    <w:rsid w:val="00566EA1"/>
    <w:rsid w:val="00570174"/>
    <w:rsid w:val="005702CB"/>
    <w:rsid w:val="005710B2"/>
    <w:rsid w:val="00573B85"/>
    <w:rsid w:val="00573BB4"/>
    <w:rsid w:val="00573CFA"/>
    <w:rsid w:val="00574965"/>
    <w:rsid w:val="00574D0E"/>
    <w:rsid w:val="00574F2A"/>
    <w:rsid w:val="0057565B"/>
    <w:rsid w:val="00576494"/>
    <w:rsid w:val="0057678F"/>
    <w:rsid w:val="00576E86"/>
    <w:rsid w:val="005778C5"/>
    <w:rsid w:val="005819F0"/>
    <w:rsid w:val="00581DA8"/>
    <w:rsid w:val="00582E74"/>
    <w:rsid w:val="005837B1"/>
    <w:rsid w:val="00583FE7"/>
    <w:rsid w:val="00586C09"/>
    <w:rsid w:val="0059197D"/>
    <w:rsid w:val="00592129"/>
    <w:rsid w:val="00593A27"/>
    <w:rsid w:val="00594C8C"/>
    <w:rsid w:val="005950ED"/>
    <w:rsid w:val="005951BA"/>
    <w:rsid w:val="00595E1C"/>
    <w:rsid w:val="0059673C"/>
    <w:rsid w:val="005A05C2"/>
    <w:rsid w:val="005A1BD4"/>
    <w:rsid w:val="005A49E4"/>
    <w:rsid w:val="005A4B43"/>
    <w:rsid w:val="005A4F1F"/>
    <w:rsid w:val="005A53C0"/>
    <w:rsid w:val="005A630C"/>
    <w:rsid w:val="005A6711"/>
    <w:rsid w:val="005B290B"/>
    <w:rsid w:val="005B319E"/>
    <w:rsid w:val="005B4909"/>
    <w:rsid w:val="005B56E2"/>
    <w:rsid w:val="005C0BFF"/>
    <w:rsid w:val="005C0F61"/>
    <w:rsid w:val="005C10C3"/>
    <w:rsid w:val="005C11EB"/>
    <w:rsid w:val="005C13DA"/>
    <w:rsid w:val="005C5745"/>
    <w:rsid w:val="005C5E80"/>
    <w:rsid w:val="005C6D4B"/>
    <w:rsid w:val="005D0229"/>
    <w:rsid w:val="005D0292"/>
    <w:rsid w:val="005D049F"/>
    <w:rsid w:val="005D0ECC"/>
    <w:rsid w:val="005D1B0F"/>
    <w:rsid w:val="005D2170"/>
    <w:rsid w:val="005D50C3"/>
    <w:rsid w:val="005D633F"/>
    <w:rsid w:val="005D7457"/>
    <w:rsid w:val="005E02CF"/>
    <w:rsid w:val="005E0540"/>
    <w:rsid w:val="005E09F0"/>
    <w:rsid w:val="005E37CA"/>
    <w:rsid w:val="005E3806"/>
    <w:rsid w:val="005E3814"/>
    <w:rsid w:val="005E464A"/>
    <w:rsid w:val="005E51A8"/>
    <w:rsid w:val="005E6092"/>
    <w:rsid w:val="005E632D"/>
    <w:rsid w:val="005E6366"/>
    <w:rsid w:val="005E6C91"/>
    <w:rsid w:val="005E6EF3"/>
    <w:rsid w:val="005E74C2"/>
    <w:rsid w:val="005E7E40"/>
    <w:rsid w:val="005E7EC3"/>
    <w:rsid w:val="005F0FFE"/>
    <w:rsid w:val="005F1E3B"/>
    <w:rsid w:val="005F2B31"/>
    <w:rsid w:val="005F3884"/>
    <w:rsid w:val="005F4E6D"/>
    <w:rsid w:val="005F5776"/>
    <w:rsid w:val="005F7B65"/>
    <w:rsid w:val="00603650"/>
    <w:rsid w:val="00603F7F"/>
    <w:rsid w:val="0060441A"/>
    <w:rsid w:val="00604FB7"/>
    <w:rsid w:val="0060595D"/>
    <w:rsid w:val="00606912"/>
    <w:rsid w:val="0061032B"/>
    <w:rsid w:val="00610D13"/>
    <w:rsid w:val="00612743"/>
    <w:rsid w:val="00613B84"/>
    <w:rsid w:val="006142EA"/>
    <w:rsid w:val="00616A6E"/>
    <w:rsid w:val="0062011A"/>
    <w:rsid w:val="00620342"/>
    <w:rsid w:val="006218D0"/>
    <w:rsid w:val="00622E89"/>
    <w:rsid w:val="0062599F"/>
    <w:rsid w:val="006264A4"/>
    <w:rsid w:val="00626A28"/>
    <w:rsid w:val="00626F15"/>
    <w:rsid w:val="0062701E"/>
    <w:rsid w:val="006273D5"/>
    <w:rsid w:val="00627C41"/>
    <w:rsid w:val="006303B5"/>
    <w:rsid w:val="006328F6"/>
    <w:rsid w:val="00633146"/>
    <w:rsid w:val="006334AD"/>
    <w:rsid w:val="00633666"/>
    <w:rsid w:val="00634EC3"/>
    <w:rsid w:val="00635F1C"/>
    <w:rsid w:val="0063667D"/>
    <w:rsid w:val="00636BB3"/>
    <w:rsid w:val="0063714E"/>
    <w:rsid w:val="00640C7F"/>
    <w:rsid w:val="00641D45"/>
    <w:rsid w:val="006425CB"/>
    <w:rsid w:val="00642E97"/>
    <w:rsid w:val="00643099"/>
    <w:rsid w:val="00643AE2"/>
    <w:rsid w:val="00644EEB"/>
    <w:rsid w:val="00645BE3"/>
    <w:rsid w:val="006468FB"/>
    <w:rsid w:val="0064742A"/>
    <w:rsid w:val="00647B90"/>
    <w:rsid w:val="00651C5B"/>
    <w:rsid w:val="006554B1"/>
    <w:rsid w:val="00655D7B"/>
    <w:rsid w:val="00657213"/>
    <w:rsid w:val="00660724"/>
    <w:rsid w:val="00661A9A"/>
    <w:rsid w:val="00662D61"/>
    <w:rsid w:val="00663D82"/>
    <w:rsid w:val="00664433"/>
    <w:rsid w:val="00667919"/>
    <w:rsid w:val="006703ED"/>
    <w:rsid w:val="0067059B"/>
    <w:rsid w:val="00670D9D"/>
    <w:rsid w:val="00671C01"/>
    <w:rsid w:val="0067307E"/>
    <w:rsid w:val="006738FD"/>
    <w:rsid w:val="006739F7"/>
    <w:rsid w:val="006748B5"/>
    <w:rsid w:val="00675C5B"/>
    <w:rsid w:val="00677108"/>
    <w:rsid w:val="00681F00"/>
    <w:rsid w:val="00683341"/>
    <w:rsid w:val="00684BEB"/>
    <w:rsid w:val="006859D0"/>
    <w:rsid w:val="00687C57"/>
    <w:rsid w:val="006907C1"/>
    <w:rsid w:val="00691272"/>
    <w:rsid w:val="006927B0"/>
    <w:rsid w:val="00692FF7"/>
    <w:rsid w:val="00693ADE"/>
    <w:rsid w:val="00694005"/>
    <w:rsid w:val="006969D2"/>
    <w:rsid w:val="006A031B"/>
    <w:rsid w:val="006A2C43"/>
    <w:rsid w:val="006A3D22"/>
    <w:rsid w:val="006A5459"/>
    <w:rsid w:val="006A6599"/>
    <w:rsid w:val="006A676B"/>
    <w:rsid w:val="006B24FE"/>
    <w:rsid w:val="006B6C81"/>
    <w:rsid w:val="006B7AC0"/>
    <w:rsid w:val="006C21EF"/>
    <w:rsid w:val="006C27C2"/>
    <w:rsid w:val="006C3881"/>
    <w:rsid w:val="006C3D99"/>
    <w:rsid w:val="006C3DF5"/>
    <w:rsid w:val="006C4EB2"/>
    <w:rsid w:val="006C6081"/>
    <w:rsid w:val="006C61A5"/>
    <w:rsid w:val="006C6E02"/>
    <w:rsid w:val="006D3370"/>
    <w:rsid w:val="006D37A3"/>
    <w:rsid w:val="006D3B0C"/>
    <w:rsid w:val="006D57A2"/>
    <w:rsid w:val="006D6856"/>
    <w:rsid w:val="006E03C7"/>
    <w:rsid w:val="006E0A46"/>
    <w:rsid w:val="006E10A6"/>
    <w:rsid w:val="006E3519"/>
    <w:rsid w:val="006E3A04"/>
    <w:rsid w:val="006E4EE8"/>
    <w:rsid w:val="006E5BFA"/>
    <w:rsid w:val="006E5DDF"/>
    <w:rsid w:val="006E6621"/>
    <w:rsid w:val="006F1649"/>
    <w:rsid w:val="006F1AE3"/>
    <w:rsid w:val="006F3F4B"/>
    <w:rsid w:val="006F46FD"/>
    <w:rsid w:val="006F5C51"/>
    <w:rsid w:val="006F65EC"/>
    <w:rsid w:val="006F6BDE"/>
    <w:rsid w:val="006F7E99"/>
    <w:rsid w:val="007008DB"/>
    <w:rsid w:val="00701BBE"/>
    <w:rsid w:val="00701F45"/>
    <w:rsid w:val="00703382"/>
    <w:rsid w:val="00705A39"/>
    <w:rsid w:val="007065DC"/>
    <w:rsid w:val="00707E74"/>
    <w:rsid w:val="00710C00"/>
    <w:rsid w:val="00712726"/>
    <w:rsid w:val="007140FE"/>
    <w:rsid w:val="0071455D"/>
    <w:rsid w:val="00714AD1"/>
    <w:rsid w:val="00715DD4"/>
    <w:rsid w:val="00716050"/>
    <w:rsid w:val="00716A5F"/>
    <w:rsid w:val="00717261"/>
    <w:rsid w:val="0071783D"/>
    <w:rsid w:val="007209B6"/>
    <w:rsid w:val="00723962"/>
    <w:rsid w:val="0072422B"/>
    <w:rsid w:val="007252D3"/>
    <w:rsid w:val="0072654E"/>
    <w:rsid w:val="00726E65"/>
    <w:rsid w:val="0073129E"/>
    <w:rsid w:val="007315BB"/>
    <w:rsid w:val="0073456F"/>
    <w:rsid w:val="007352CD"/>
    <w:rsid w:val="00736C12"/>
    <w:rsid w:val="00737129"/>
    <w:rsid w:val="00737256"/>
    <w:rsid w:val="007407E8"/>
    <w:rsid w:val="007410A2"/>
    <w:rsid w:val="00742FB4"/>
    <w:rsid w:val="00745D44"/>
    <w:rsid w:val="0074672C"/>
    <w:rsid w:val="00746AFD"/>
    <w:rsid w:val="007509CD"/>
    <w:rsid w:val="00751665"/>
    <w:rsid w:val="007529A4"/>
    <w:rsid w:val="00752C93"/>
    <w:rsid w:val="00752D9F"/>
    <w:rsid w:val="0075351E"/>
    <w:rsid w:val="007544FD"/>
    <w:rsid w:val="007550ED"/>
    <w:rsid w:val="007561BB"/>
    <w:rsid w:val="0075625D"/>
    <w:rsid w:val="00761A03"/>
    <w:rsid w:val="00761BCF"/>
    <w:rsid w:val="00762BAB"/>
    <w:rsid w:val="0076468C"/>
    <w:rsid w:val="007648AF"/>
    <w:rsid w:val="007656C0"/>
    <w:rsid w:val="00765E38"/>
    <w:rsid w:val="00766114"/>
    <w:rsid w:val="00766C45"/>
    <w:rsid w:val="00766E49"/>
    <w:rsid w:val="0077018B"/>
    <w:rsid w:val="0077035D"/>
    <w:rsid w:val="00770E3D"/>
    <w:rsid w:val="00771239"/>
    <w:rsid w:val="00771A1A"/>
    <w:rsid w:val="00772A2B"/>
    <w:rsid w:val="007768BF"/>
    <w:rsid w:val="00780085"/>
    <w:rsid w:val="007821F8"/>
    <w:rsid w:val="00782D1B"/>
    <w:rsid w:val="007836CD"/>
    <w:rsid w:val="0078549D"/>
    <w:rsid w:val="007865CC"/>
    <w:rsid w:val="00786645"/>
    <w:rsid w:val="0078761F"/>
    <w:rsid w:val="00790FFA"/>
    <w:rsid w:val="00797235"/>
    <w:rsid w:val="007978DE"/>
    <w:rsid w:val="00797E3B"/>
    <w:rsid w:val="007A0F2C"/>
    <w:rsid w:val="007A1051"/>
    <w:rsid w:val="007A3D59"/>
    <w:rsid w:val="007A5351"/>
    <w:rsid w:val="007A55AD"/>
    <w:rsid w:val="007A66C1"/>
    <w:rsid w:val="007A686B"/>
    <w:rsid w:val="007A7404"/>
    <w:rsid w:val="007A7A10"/>
    <w:rsid w:val="007B1511"/>
    <w:rsid w:val="007B21B8"/>
    <w:rsid w:val="007B2A97"/>
    <w:rsid w:val="007B6D5C"/>
    <w:rsid w:val="007B761C"/>
    <w:rsid w:val="007B767E"/>
    <w:rsid w:val="007C1DBD"/>
    <w:rsid w:val="007C2179"/>
    <w:rsid w:val="007C390C"/>
    <w:rsid w:val="007C58AC"/>
    <w:rsid w:val="007C5B43"/>
    <w:rsid w:val="007C7085"/>
    <w:rsid w:val="007D03B8"/>
    <w:rsid w:val="007D0533"/>
    <w:rsid w:val="007D1520"/>
    <w:rsid w:val="007D1B1F"/>
    <w:rsid w:val="007D2119"/>
    <w:rsid w:val="007D4DE7"/>
    <w:rsid w:val="007D6FC1"/>
    <w:rsid w:val="007D725F"/>
    <w:rsid w:val="007D7CEA"/>
    <w:rsid w:val="007E09AF"/>
    <w:rsid w:val="007E09C7"/>
    <w:rsid w:val="007E610D"/>
    <w:rsid w:val="007E6226"/>
    <w:rsid w:val="007F0189"/>
    <w:rsid w:val="007F06C8"/>
    <w:rsid w:val="007F0D24"/>
    <w:rsid w:val="007F13C2"/>
    <w:rsid w:val="007F185E"/>
    <w:rsid w:val="007F189B"/>
    <w:rsid w:val="007F3FCE"/>
    <w:rsid w:val="007F4096"/>
    <w:rsid w:val="007F4E64"/>
    <w:rsid w:val="007F5585"/>
    <w:rsid w:val="007F672F"/>
    <w:rsid w:val="008006AB"/>
    <w:rsid w:val="008013D0"/>
    <w:rsid w:val="008029AD"/>
    <w:rsid w:val="0080539D"/>
    <w:rsid w:val="00805DA5"/>
    <w:rsid w:val="008117B5"/>
    <w:rsid w:val="00812C88"/>
    <w:rsid w:val="00812F28"/>
    <w:rsid w:val="008144C7"/>
    <w:rsid w:val="00817C55"/>
    <w:rsid w:val="008216E9"/>
    <w:rsid w:val="0082274E"/>
    <w:rsid w:val="00824005"/>
    <w:rsid w:val="008242A4"/>
    <w:rsid w:val="008247F5"/>
    <w:rsid w:val="00824CF9"/>
    <w:rsid w:val="0082534D"/>
    <w:rsid w:val="0082581A"/>
    <w:rsid w:val="00827F91"/>
    <w:rsid w:val="00830CAE"/>
    <w:rsid w:val="00832AD3"/>
    <w:rsid w:val="0083351E"/>
    <w:rsid w:val="008343BF"/>
    <w:rsid w:val="00837F37"/>
    <w:rsid w:val="008425AA"/>
    <w:rsid w:val="008430DC"/>
    <w:rsid w:val="00843E43"/>
    <w:rsid w:val="00844F5F"/>
    <w:rsid w:val="0085005D"/>
    <w:rsid w:val="00850642"/>
    <w:rsid w:val="00850858"/>
    <w:rsid w:val="00851BCF"/>
    <w:rsid w:val="00851BD5"/>
    <w:rsid w:val="00854562"/>
    <w:rsid w:val="00856125"/>
    <w:rsid w:val="008569EE"/>
    <w:rsid w:val="00857F76"/>
    <w:rsid w:val="00860552"/>
    <w:rsid w:val="00861639"/>
    <w:rsid w:val="00862FD1"/>
    <w:rsid w:val="00863C02"/>
    <w:rsid w:val="008676DF"/>
    <w:rsid w:val="00867B81"/>
    <w:rsid w:val="00867C20"/>
    <w:rsid w:val="00867C22"/>
    <w:rsid w:val="00872162"/>
    <w:rsid w:val="008730FF"/>
    <w:rsid w:val="0087436B"/>
    <w:rsid w:val="00874AB4"/>
    <w:rsid w:val="008768A0"/>
    <w:rsid w:val="00877A97"/>
    <w:rsid w:val="00877BC0"/>
    <w:rsid w:val="00880F98"/>
    <w:rsid w:val="0088108B"/>
    <w:rsid w:val="00881352"/>
    <w:rsid w:val="008829DA"/>
    <w:rsid w:val="00882C3D"/>
    <w:rsid w:val="00883FA2"/>
    <w:rsid w:val="008846B4"/>
    <w:rsid w:val="00886A71"/>
    <w:rsid w:val="00887DD4"/>
    <w:rsid w:val="0089008F"/>
    <w:rsid w:val="008911E2"/>
    <w:rsid w:val="00891A57"/>
    <w:rsid w:val="00893409"/>
    <w:rsid w:val="0089349E"/>
    <w:rsid w:val="00896AB0"/>
    <w:rsid w:val="00896B40"/>
    <w:rsid w:val="00896D1D"/>
    <w:rsid w:val="008A0CAB"/>
    <w:rsid w:val="008A1848"/>
    <w:rsid w:val="008A546C"/>
    <w:rsid w:val="008A5A2C"/>
    <w:rsid w:val="008B0748"/>
    <w:rsid w:val="008B196A"/>
    <w:rsid w:val="008B348A"/>
    <w:rsid w:val="008B3870"/>
    <w:rsid w:val="008B3D04"/>
    <w:rsid w:val="008B499F"/>
    <w:rsid w:val="008B4BBF"/>
    <w:rsid w:val="008B5A5E"/>
    <w:rsid w:val="008B6681"/>
    <w:rsid w:val="008B72ED"/>
    <w:rsid w:val="008B73AF"/>
    <w:rsid w:val="008B7492"/>
    <w:rsid w:val="008C0ACD"/>
    <w:rsid w:val="008C12F7"/>
    <w:rsid w:val="008C2C63"/>
    <w:rsid w:val="008C39D4"/>
    <w:rsid w:val="008C6402"/>
    <w:rsid w:val="008D276C"/>
    <w:rsid w:val="008D279C"/>
    <w:rsid w:val="008D3AE7"/>
    <w:rsid w:val="008D4ECA"/>
    <w:rsid w:val="008D4F13"/>
    <w:rsid w:val="008D7196"/>
    <w:rsid w:val="008E44B3"/>
    <w:rsid w:val="008E5867"/>
    <w:rsid w:val="008F0CA5"/>
    <w:rsid w:val="008F0E2F"/>
    <w:rsid w:val="008F1D66"/>
    <w:rsid w:val="008F4F50"/>
    <w:rsid w:val="008F6F7C"/>
    <w:rsid w:val="008F7390"/>
    <w:rsid w:val="0090093B"/>
    <w:rsid w:val="00900A5E"/>
    <w:rsid w:val="00901435"/>
    <w:rsid w:val="00903AA6"/>
    <w:rsid w:val="00904A6B"/>
    <w:rsid w:val="00905223"/>
    <w:rsid w:val="009053C7"/>
    <w:rsid w:val="00906098"/>
    <w:rsid w:val="009062AD"/>
    <w:rsid w:val="009119EA"/>
    <w:rsid w:val="00911A07"/>
    <w:rsid w:val="00911B30"/>
    <w:rsid w:val="00913313"/>
    <w:rsid w:val="009139B9"/>
    <w:rsid w:val="009148CB"/>
    <w:rsid w:val="009162A7"/>
    <w:rsid w:val="00916B50"/>
    <w:rsid w:val="00917829"/>
    <w:rsid w:val="009200CB"/>
    <w:rsid w:val="00920148"/>
    <w:rsid w:val="009249EB"/>
    <w:rsid w:val="00924F31"/>
    <w:rsid w:val="00925272"/>
    <w:rsid w:val="00930115"/>
    <w:rsid w:val="00930B2E"/>
    <w:rsid w:val="00931C64"/>
    <w:rsid w:val="00932A71"/>
    <w:rsid w:val="00933ECB"/>
    <w:rsid w:val="009349DE"/>
    <w:rsid w:val="0093730A"/>
    <w:rsid w:val="00937758"/>
    <w:rsid w:val="00937DCE"/>
    <w:rsid w:val="0094160D"/>
    <w:rsid w:val="009421AC"/>
    <w:rsid w:val="00942A2F"/>
    <w:rsid w:val="00943F7F"/>
    <w:rsid w:val="009440EA"/>
    <w:rsid w:val="00944294"/>
    <w:rsid w:val="00944736"/>
    <w:rsid w:val="00944788"/>
    <w:rsid w:val="00945DBC"/>
    <w:rsid w:val="00951555"/>
    <w:rsid w:val="009521E8"/>
    <w:rsid w:val="009539E9"/>
    <w:rsid w:val="0095500F"/>
    <w:rsid w:val="00955132"/>
    <w:rsid w:val="009554AE"/>
    <w:rsid w:val="009557C4"/>
    <w:rsid w:val="009560DB"/>
    <w:rsid w:val="00956367"/>
    <w:rsid w:val="0096404F"/>
    <w:rsid w:val="00964229"/>
    <w:rsid w:val="00964241"/>
    <w:rsid w:val="0096644F"/>
    <w:rsid w:val="009679F4"/>
    <w:rsid w:val="00971053"/>
    <w:rsid w:val="00971EF2"/>
    <w:rsid w:val="009727F7"/>
    <w:rsid w:val="009747FA"/>
    <w:rsid w:val="00975CC9"/>
    <w:rsid w:val="0098043A"/>
    <w:rsid w:val="0098277F"/>
    <w:rsid w:val="00983EC3"/>
    <w:rsid w:val="00984A58"/>
    <w:rsid w:val="00984B31"/>
    <w:rsid w:val="00985221"/>
    <w:rsid w:val="00985F0F"/>
    <w:rsid w:val="009865CB"/>
    <w:rsid w:val="00986DD9"/>
    <w:rsid w:val="0099213D"/>
    <w:rsid w:val="00995163"/>
    <w:rsid w:val="00995996"/>
    <w:rsid w:val="00996861"/>
    <w:rsid w:val="00997427"/>
    <w:rsid w:val="009A01D7"/>
    <w:rsid w:val="009A03A1"/>
    <w:rsid w:val="009A0A1B"/>
    <w:rsid w:val="009A0D4F"/>
    <w:rsid w:val="009A15F8"/>
    <w:rsid w:val="009A19CE"/>
    <w:rsid w:val="009A2B62"/>
    <w:rsid w:val="009A468B"/>
    <w:rsid w:val="009A6662"/>
    <w:rsid w:val="009A7287"/>
    <w:rsid w:val="009A7E54"/>
    <w:rsid w:val="009B009C"/>
    <w:rsid w:val="009B040E"/>
    <w:rsid w:val="009B0ED4"/>
    <w:rsid w:val="009B2C1F"/>
    <w:rsid w:val="009B4D47"/>
    <w:rsid w:val="009B5D0A"/>
    <w:rsid w:val="009B7695"/>
    <w:rsid w:val="009B7AD4"/>
    <w:rsid w:val="009C003E"/>
    <w:rsid w:val="009C0069"/>
    <w:rsid w:val="009C10EF"/>
    <w:rsid w:val="009C1A03"/>
    <w:rsid w:val="009C1B65"/>
    <w:rsid w:val="009C300F"/>
    <w:rsid w:val="009C3CBA"/>
    <w:rsid w:val="009C4C73"/>
    <w:rsid w:val="009C508E"/>
    <w:rsid w:val="009C509C"/>
    <w:rsid w:val="009C5C1C"/>
    <w:rsid w:val="009C5D32"/>
    <w:rsid w:val="009C7113"/>
    <w:rsid w:val="009D0BF8"/>
    <w:rsid w:val="009D1D2D"/>
    <w:rsid w:val="009D2064"/>
    <w:rsid w:val="009D21CE"/>
    <w:rsid w:val="009D2AD4"/>
    <w:rsid w:val="009D305F"/>
    <w:rsid w:val="009D52F7"/>
    <w:rsid w:val="009D5487"/>
    <w:rsid w:val="009D626C"/>
    <w:rsid w:val="009E11F9"/>
    <w:rsid w:val="009E21EB"/>
    <w:rsid w:val="009E53D4"/>
    <w:rsid w:val="009E5F3D"/>
    <w:rsid w:val="009E6C40"/>
    <w:rsid w:val="009E7F6F"/>
    <w:rsid w:val="009F00E4"/>
    <w:rsid w:val="009F01F8"/>
    <w:rsid w:val="009F1824"/>
    <w:rsid w:val="009F22D8"/>
    <w:rsid w:val="009F2A29"/>
    <w:rsid w:val="009F2EC5"/>
    <w:rsid w:val="009F4BF8"/>
    <w:rsid w:val="009F65CB"/>
    <w:rsid w:val="009F6FDA"/>
    <w:rsid w:val="00A0042D"/>
    <w:rsid w:val="00A00960"/>
    <w:rsid w:val="00A00C6B"/>
    <w:rsid w:val="00A00F86"/>
    <w:rsid w:val="00A024F7"/>
    <w:rsid w:val="00A028B9"/>
    <w:rsid w:val="00A031EF"/>
    <w:rsid w:val="00A05296"/>
    <w:rsid w:val="00A05BC3"/>
    <w:rsid w:val="00A05E43"/>
    <w:rsid w:val="00A07169"/>
    <w:rsid w:val="00A07BC0"/>
    <w:rsid w:val="00A102F4"/>
    <w:rsid w:val="00A10E20"/>
    <w:rsid w:val="00A10E3B"/>
    <w:rsid w:val="00A11E9C"/>
    <w:rsid w:val="00A12EE8"/>
    <w:rsid w:val="00A13AFC"/>
    <w:rsid w:val="00A14E98"/>
    <w:rsid w:val="00A15954"/>
    <w:rsid w:val="00A15EDD"/>
    <w:rsid w:val="00A1771E"/>
    <w:rsid w:val="00A17B4B"/>
    <w:rsid w:val="00A208FC"/>
    <w:rsid w:val="00A21120"/>
    <w:rsid w:val="00A218DA"/>
    <w:rsid w:val="00A22390"/>
    <w:rsid w:val="00A23475"/>
    <w:rsid w:val="00A2423D"/>
    <w:rsid w:val="00A24AC8"/>
    <w:rsid w:val="00A25085"/>
    <w:rsid w:val="00A2522C"/>
    <w:rsid w:val="00A258A0"/>
    <w:rsid w:val="00A262D3"/>
    <w:rsid w:val="00A26DFE"/>
    <w:rsid w:val="00A27139"/>
    <w:rsid w:val="00A30703"/>
    <w:rsid w:val="00A316BB"/>
    <w:rsid w:val="00A31BA4"/>
    <w:rsid w:val="00A32F3C"/>
    <w:rsid w:val="00A3352F"/>
    <w:rsid w:val="00A35385"/>
    <w:rsid w:val="00A36142"/>
    <w:rsid w:val="00A40159"/>
    <w:rsid w:val="00A41C7F"/>
    <w:rsid w:val="00A4224D"/>
    <w:rsid w:val="00A42460"/>
    <w:rsid w:val="00A42DA4"/>
    <w:rsid w:val="00A42FA5"/>
    <w:rsid w:val="00A44C42"/>
    <w:rsid w:val="00A44C9D"/>
    <w:rsid w:val="00A44EFD"/>
    <w:rsid w:val="00A45205"/>
    <w:rsid w:val="00A50001"/>
    <w:rsid w:val="00A500A4"/>
    <w:rsid w:val="00A500DF"/>
    <w:rsid w:val="00A50884"/>
    <w:rsid w:val="00A50DA7"/>
    <w:rsid w:val="00A51A1B"/>
    <w:rsid w:val="00A54027"/>
    <w:rsid w:val="00A540A2"/>
    <w:rsid w:val="00A543CD"/>
    <w:rsid w:val="00A54D5E"/>
    <w:rsid w:val="00A5609A"/>
    <w:rsid w:val="00A56508"/>
    <w:rsid w:val="00A5715B"/>
    <w:rsid w:val="00A5736C"/>
    <w:rsid w:val="00A60743"/>
    <w:rsid w:val="00A60E86"/>
    <w:rsid w:val="00A62357"/>
    <w:rsid w:val="00A64182"/>
    <w:rsid w:val="00A66906"/>
    <w:rsid w:val="00A672E1"/>
    <w:rsid w:val="00A717CB"/>
    <w:rsid w:val="00A74604"/>
    <w:rsid w:val="00A74BF2"/>
    <w:rsid w:val="00A773A8"/>
    <w:rsid w:val="00A777F7"/>
    <w:rsid w:val="00A77EA2"/>
    <w:rsid w:val="00A80CFA"/>
    <w:rsid w:val="00A820D3"/>
    <w:rsid w:val="00A84BDD"/>
    <w:rsid w:val="00A84F1D"/>
    <w:rsid w:val="00A85AF2"/>
    <w:rsid w:val="00A85F37"/>
    <w:rsid w:val="00A904BA"/>
    <w:rsid w:val="00A90998"/>
    <w:rsid w:val="00A913D9"/>
    <w:rsid w:val="00A91705"/>
    <w:rsid w:val="00A924DE"/>
    <w:rsid w:val="00A9296D"/>
    <w:rsid w:val="00A93251"/>
    <w:rsid w:val="00A933D1"/>
    <w:rsid w:val="00A9548F"/>
    <w:rsid w:val="00A95D14"/>
    <w:rsid w:val="00A9604D"/>
    <w:rsid w:val="00A9622F"/>
    <w:rsid w:val="00A96F67"/>
    <w:rsid w:val="00A9783B"/>
    <w:rsid w:val="00AA0B41"/>
    <w:rsid w:val="00AA2A3D"/>
    <w:rsid w:val="00AA6050"/>
    <w:rsid w:val="00AB0A5C"/>
    <w:rsid w:val="00AB1404"/>
    <w:rsid w:val="00AB17D6"/>
    <w:rsid w:val="00AB1851"/>
    <w:rsid w:val="00AB1CEC"/>
    <w:rsid w:val="00AB20CB"/>
    <w:rsid w:val="00AB2922"/>
    <w:rsid w:val="00AB31E9"/>
    <w:rsid w:val="00AC1FB6"/>
    <w:rsid w:val="00AC296F"/>
    <w:rsid w:val="00AC344F"/>
    <w:rsid w:val="00AC3F19"/>
    <w:rsid w:val="00AC58FE"/>
    <w:rsid w:val="00AC7029"/>
    <w:rsid w:val="00AD02DF"/>
    <w:rsid w:val="00AD119D"/>
    <w:rsid w:val="00AD1F04"/>
    <w:rsid w:val="00AD4472"/>
    <w:rsid w:val="00AD47F1"/>
    <w:rsid w:val="00AD4A44"/>
    <w:rsid w:val="00AD7906"/>
    <w:rsid w:val="00AD7A8D"/>
    <w:rsid w:val="00AE1852"/>
    <w:rsid w:val="00AE1D18"/>
    <w:rsid w:val="00AE5DE9"/>
    <w:rsid w:val="00AE66BC"/>
    <w:rsid w:val="00AE6F1F"/>
    <w:rsid w:val="00AF0189"/>
    <w:rsid w:val="00AF1180"/>
    <w:rsid w:val="00AF28EB"/>
    <w:rsid w:val="00AF4265"/>
    <w:rsid w:val="00AF4284"/>
    <w:rsid w:val="00AF6B37"/>
    <w:rsid w:val="00AF748D"/>
    <w:rsid w:val="00B009DB"/>
    <w:rsid w:val="00B01565"/>
    <w:rsid w:val="00B03143"/>
    <w:rsid w:val="00B079D0"/>
    <w:rsid w:val="00B07AA0"/>
    <w:rsid w:val="00B10BD2"/>
    <w:rsid w:val="00B112F9"/>
    <w:rsid w:val="00B11FEC"/>
    <w:rsid w:val="00B14C9C"/>
    <w:rsid w:val="00B17807"/>
    <w:rsid w:val="00B20527"/>
    <w:rsid w:val="00B21D43"/>
    <w:rsid w:val="00B22150"/>
    <w:rsid w:val="00B2235E"/>
    <w:rsid w:val="00B22A35"/>
    <w:rsid w:val="00B23F32"/>
    <w:rsid w:val="00B24478"/>
    <w:rsid w:val="00B2464D"/>
    <w:rsid w:val="00B25C32"/>
    <w:rsid w:val="00B26B33"/>
    <w:rsid w:val="00B2761B"/>
    <w:rsid w:val="00B27D88"/>
    <w:rsid w:val="00B27DBD"/>
    <w:rsid w:val="00B27FB6"/>
    <w:rsid w:val="00B30888"/>
    <w:rsid w:val="00B31911"/>
    <w:rsid w:val="00B32DAB"/>
    <w:rsid w:val="00B34492"/>
    <w:rsid w:val="00B37946"/>
    <w:rsid w:val="00B40403"/>
    <w:rsid w:val="00B406A9"/>
    <w:rsid w:val="00B40769"/>
    <w:rsid w:val="00B4485B"/>
    <w:rsid w:val="00B44FA5"/>
    <w:rsid w:val="00B47842"/>
    <w:rsid w:val="00B51761"/>
    <w:rsid w:val="00B527FF"/>
    <w:rsid w:val="00B52C62"/>
    <w:rsid w:val="00B52E55"/>
    <w:rsid w:val="00B531AB"/>
    <w:rsid w:val="00B53A20"/>
    <w:rsid w:val="00B53BF6"/>
    <w:rsid w:val="00B562C6"/>
    <w:rsid w:val="00B565FE"/>
    <w:rsid w:val="00B56C40"/>
    <w:rsid w:val="00B574AE"/>
    <w:rsid w:val="00B579DF"/>
    <w:rsid w:val="00B60ADC"/>
    <w:rsid w:val="00B61187"/>
    <w:rsid w:val="00B6232B"/>
    <w:rsid w:val="00B63149"/>
    <w:rsid w:val="00B6602F"/>
    <w:rsid w:val="00B6737D"/>
    <w:rsid w:val="00B67A09"/>
    <w:rsid w:val="00B67AC9"/>
    <w:rsid w:val="00B67CC0"/>
    <w:rsid w:val="00B7082F"/>
    <w:rsid w:val="00B71DA1"/>
    <w:rsid w:val="00B74386"/>
    <w:rsid w:val="00B7462C"/>
    <w:rsid w:val="00B75074"/>
    <w:rsid w:val="00B751D5"/>
    <w:rsid w:val="00B7679B"/>
    <w:rsid w:val="00B76885"/>
    <w:rsid w:val="00B77203"/>
    <w:rsid w:val="00B779AE"/>
    <w:rsid w:val="00B810DE"/>
    <w:rsid w:val="00B8333C"/>
    <w:rsid w:val="00B833A3"/>
    <w:rsid w:val="00B8373B"/>
    <w:rsid w:val="00B83FB6"/>
    <w:rsid w:val="00B86755"/>
    <w:rsid w:val="00B87E51"/>
    <w:rsid w:val="00B9008E"/>
    <w:rsid w:val="00B90A2C"/>
    <w:rsid w:val="00B90AEC"/>
    <w:rsid w:val="00B91435"/>
    <w:rsid w:val="00B93A12"/>
    <w:rsid w:val="00B93AC8"/>
    <w:rsid w:val="00B93F75"/>
    <w:rsid w:val="00B94562"/>
    <w:rsid w:val="00B96A62"/>
    <w:rsid w:val="00BA063B"/>
    <w:rsid w:val="00BA0CDB"/>
    <w:rsid w:val="00BA1562"/>
    <w:rsid w:val="00BA1EAF"/>
    <w:rsid w:val="00BA348E"/>
    <w:rsid w:val="00BA368D"/>
    <w:rsid w:val="00BA7435"/>
    <w:rsid w:val="00BA75BD"/>
    <w:rsid w:val="00BB0289"/>
    <w:rsid w:val="00BB0BE0"/>
    <w:rsid w:val="00BB0C6A"/>
    <w:rsid w:val="00BB2810"/>
    <w:rsid w:val="00BB50FC"/>
    <w:rsid w:val="00BB5306"/>
    <w:rsid w:val="00BB5C8E"/>
    <w:rsid w:val="00BB75B9"/>
    <w:rsid w:val="00BC280C"/>
    <w:rsid w:val="00BC34BC"/>
    <w:rsid w:val="00BC600A"/>
    <w:rsid w:val="00BD05D9"/>
    <w:rsid w:val="00BD13C2"/>
    <w:rsid w:val="00BD1E92"/>
    <w:rsid w:val="00BD2145"/>
    <w:rsid w:val="00BD3E28"/>
    <w:rsid w:val="00BD78C8"/>
    <w:rsid w:val="00BE15CB"/>
    <w:rsid w:val="00BE45BE"/>
    <w:rsid w:val="00BE5671"/>
    <w:rsid w:val="00BE58D1"/>
    <w:rsid w:val="00BE6B0B"/>
    <w:rsid w:val="00BE7059"/>
    <w:rsid w:val="00BE7EE7"/>
    <w:rsid w:val="00BF06C4"/>
    <w:rsid w:val="00BF118B"/>
    <w:rsid w:val="00BF154C"/>
    <w:rsid w:val="00BF31C0"/>
    <w:rsid w:val="00BF3919"/>
    <w:rsid w:val="00BF540C"/>
    <w:rsid w:val="00BF554B"/>
    <w:rsid w:val="00BF5B21"/>
    <w:rsid w:val="00BF6AAE"/>
    <w:rsid w:val="00BF71A1"/>
    <w:rsid w:val="00C0077C"/>
    <w:rsid w:val="00C023FA"/>
    <w:rsid w:val="00C0286D"/>
    <w:rsid w:val="00C02B36"/>
    <w:rsid w:val="00C0349F"/>
    <w:rsid w:val="00C03B28"/>
    <w:rsid w:val="00C05E81"/>
    <w:rsid w:val="00C0647E"/>
    <w:rsid w:val="00C06674"/>
    <w:rsid w:val="00C0682E"/>
    <w:rsid w:val="00C069C5"/>
    <w:rsid w:val="00C10E80"/>
    <w:rsid w:val="00C1200E"/>
    <w:rsid w:val="00C13E07"/>
    <w:rsid w:val="00C142C1"/>
    <w:rsid w:val="00C155CB"/>
    <w:rsid w:val="00C16E8D"/>
    <w:rsid w:val="00C20BF0"/>
    <w:rsid w:val="00C21448"/>
    <w:rsid w:val="00C2199B"/>
    <w:rsid w:val="00C21DBE"/>
    <w:rsid w:val="00C22FFD"/>
    <w:rsid w:val="00C24905"/>
    <w:rsid w:val="00C25C9E"/>
    <w:rsid w:val="00C25F05"/>
    <w:rsid w:val="00C26059"/>
    <w:rsid w:val="00C272EA"/>
    <w:rsid w:val="00C31CFD"/>
    <w:rsid w:val="00C31E4F"/>
    <w:rsid w:val="00C31F3A"/>
    <w:rsid w:val="00C32309"/>
    <w:rsid w:val="00C33A40"/>
    <w:rsid w:val="00C34F4C"/>
    <w:rsid w:val="00C34FEA"/>
    <w:rsid w:val="00C41F0A"/>
    <w:rsid w:val="00C439AA"/>
    <w:rsid w:val="00C44B16"/>
    <w:rsid w:val="00C44FF7"/>
    <w:rsid w:val="00C45071"/>
    <w:rsid w:val="00C46CB5"/>
    <w:rsid w:val="00C47181"/>
    <w:rsid w:val="00C47318"/>
    <w:rsid w:val="00C47A96"/>
    <w:rsid w:val="00C47F5C"/>
    <w:rsid w:val="00C5078F"/>
    <w:rsid w:val="00C50FC2"/>
    <w:rsid w:val="00C532C4"/>
    <w:rsid w:val="00C57F73"/>
    <w:rsid w:val="00C600D1"/>
    <w:rsid w:val="00C610FE"/>
    <w:rsid w:val="00C615B0"/>
    <w:rsid w:val="00C62B95"/>
    <w:rsid w:val="00C62E43"/>
    <w:rsid w:val="00C644A9"/>
    <w:rsid w:val="00C65A60"/>
    <w:rsid w:val="00C66903"/>
    <w:rsid w:val="00C669CF"/>
    <w:rsid w:val="00C673A3"/>
    <w:rsid w:val="00C700B0"/>
    <w:rsid w:val="00C70EC7"/>
    <w:rsid w:val="00C71344"/>
    <w:rsid w:val="00C71482"/>
    <w:rsid w:val="00C71718"/>
    <w:rsid w:val="00C7262D"/>
    <w:rsid w:val="00C72821"/>
    <w:rsid w:val="00C72BEF"/>
    <w:rsid w:val="00C72DB5"/>
    <w:rsid w:val="00C74CDA"/>
    <w:rsid w:val="00C74F21"/>
    <w:rsid w:val="00C754E6"/>
    <w:rsid w:val="00C75A9F"/>
    <w:rsid w:val="00C75F0C"/>
    <w:rsid w:val="00C7667F"/>
    <w:rsid w:val="00C8137F"/>
    <w:rsid w:val="00C83641"/>
    <w:rsid w:val="00C85FE6"/>
    <w:rsid w:val="00C863FA"/>
    <w:rsid w:val="00C86FD5"/>
    <w:rsid w:val="00C87E09"/>
    <w:rsid w:val="00C9148F"/>
    <w:rsid w:val="00C922D2"/>
    <w:rsid w:val="00C932D1"/>
    <w:rsid w:val="00C94669"/>
    <w:rsid w:val="00C946CB"/>
    <w:rsid w:val="00C959C7"/>
    <w:rsid w:val="00C97EDD"/>
    <w:rsid w:val="00CA0E5B"/>
    <w:rsid w:val="00CA0F5D"/>
    <w:rsid w:val="00CA1A8C"/>
    <w:rsid w:val="00CA474D"/>
    <w:rsid w:val="00CA4B5E"/>
    <w:rsid w:val="00CA5AE9"/>
    <w:rsid w:val="00CA68B8"/>
    <w:rsid w:val="00CA6AD1"/>
    <w:rsid w:val="00CA6D09"/>
    <w:rsid w:val="00CA6DE3"/>
    <w:rsid w:val="00CA70F1"/>
    <w:rsid w:val="00CB0E4C"/>
    <w:rsid w:val="00CB1297"/>
    <w:rsid w:val="00CB210F"/>
    <w:rsid w:val="00CB2EAC"/>
    <w:rsid w:val="00CB320E"/>
    <w:rsid w:val="00CB4190"/>
    <w:rsid w:val="00CB5276"/>
    <w:rsid w:val="00CB5A5E"/>
    <w:rsid w:val="00CB5A62"/>
    <w:rsid w:val="00CB7A08"/>
    <w:rsid w:val="00CC0D6C"/>
    <w:rsid w:val="00CC1855"/>
    <w:rsid w:val="00CC2108"/>
    <w:rsid w:val="00CC4A2E"/>
    <w:rsid w:val="00CC4A5B"/>
    <w:rsid w:val="00CC5776"/>
    <w:rsid w:val="00CC5BB9"/>
    <w:rsid w:val="00CD052C"/>
    <w:rsid w:val="00CD0CDE"/>
    <w:rsid w:val="00CD11BB"/>
    <w:rsid w:val="00CD30DC"/>
    <w:rsid w:val="00CD3D98"/>
    <w:rsid w:val="00CD47A2"/>
    <w:rsid w:val="00CD4C06"/>
    <w:rsid w:val="00CD4EA3"/>
    <w:rsid w:val="00CD59E2"/>
    <w:rsid w:val="00CE09B5"/>
    <w:rsid w:val="00CE09C4"/>
    <w:rsid w:val="00CE0D66"/>
    <w:rsid w:val="00CE2226"/>
    <w:rsid w:val="00CE3183"/>
    <w:rsid w:val="00CE4657"/>
    <w:rsid w:val="00CE5C42"/>
    <w:rsid w:val="00CE6B14"/>
    <w:rsid w:val="00CF22AE"/>
    <w:rsid w:val="00CF2AC2"/>
    <w:rsid w:val="00CF3EEC"/>
    <w:rsid w:val="00CF4867"/>
    <w:rsid w:val="00CF7E94"/>
    <w:rsid w:val="00D00464"/>
    <w:rsid w:val="00D0056E"/>
    <w:rsid w:val="00D01772"/>
    <w:rsid w:val="00D05850"/>
    <w:rsid w:val="00D06051"/>
    <w:rsid w:val="00D109F0"/>
    <w:rsid w:val="00D10B6D"/>
    <w:rsid w:val="00D1102C"/>
    <w:rsid w:val="00D11457"/>
    <w:rsid w:val="00D11907"/>
    <w:rsid w:val="00D134E3"/>
    <w:rsid w:val="00D144CE"/>
    <w:rsid w:val="00D14E9C"/>
    <w:rsid w:val="00D14F60"/>
    <w:rsid w:val="00D15217"/>
    <w:rsid w:val="00D15524"/>
    <w:rsid w:val="00D17F64"/>
    <w:rsid w:val="00D2084C"/>
    <w:rsid w:val="00D20931"/>
    <w:rsid w:val="00D2268A"/>
    <w:rsid w:val="00D22E3A"/>
    <w:rsid w:val="00D24D64"/>
    <w:rsid w:val="00D24DE5"/>
    <w:rsid w:val="00D2661E"/>
    <w:rsid w:val="00D2711D"/>
    <w:rsid w:val="00D27250"/>
    <w:rsid w:val="00D32889"/>
    <w:rsid w:val="00D33762"/>
    <w:rsid w:val="00D33945"/>
    <w:rsid w:val="00D33FBE"/>
    <w:rsid w:val="00D35C93"/>
    <w:rsid w:val="00D35F9D"/>
    <w:rsid w:val="00D36C2F"/>
    <w:rsid w:val="00D374DE"/>
    <w:rsid w:val="00D37A1A"/>
    <w:rsid w:val="00D37DAC"/>
    <w:rsid w:val="00D4453C"/>
    <w:rsid w:val="00D44E5F"/>
    <w:rsid w:val="00D464DC"/>
    <w:rsid w:val="00D4672C"/>
    <w:rsid w:val="00D46D25"/>
    <w:rsid w:val="00D471E8"/>
    <w:rsid w:val="00D476B0"/>
    <w:rsid w:val="00D47EF7"/>
    <w:rsid w:val="00D5081D"/>
    <w:rsid w:val="00D51740"/>
    <w:rsid w:val="00D51A35"/>
    <w:rsid w:val="00D54718"/>
    <w:rsid w:val="00D54D1E"/>
    <w:rsid w:val="00D55114"/>
    <w:rsid w:val="00D5660C"/>
    <w:rsid w:val="00D57597"/>
    <w:rsid w:val="00D60E64"/>
    <w:rsid w:val="00D61A61"/>
    <w:rsid w:val="00D62A8F"/>
    <w:rsid w:val="00D6301A"/>
    <w:rsid w:val="00D6302F"/>
    <w:rsid w:val="00D63809"/>
    <w:rsid w:val="00D64208"/>
    <w:rsid w:val="00D6444D"/>
    <w:rsid w:val="00D66EC5"/>
    <w:rsid w:val="00D67FAF"/>
    <w:rsid w:val="00D70180"/>
    <w:rsid w:val="00D71025"/>
    <w:rsid w:val="00D7115A"/>
    <w:rsid w:val="00D7153A"/>
    <w:rsid w:val="00D71774"/>
    <w:rsid w:val="00D726E3"/>
    <w:rsid w:val="00D728DE"/>
    <w:rsid w:val="00D73088"/>
    <w:rsid w:val="00D735F5"/>
    <w:rsid w:val="00D76817"/>
    <w:rsid w:val="00D77786"/>
    <w:rsid w:val="00D81274"/>
    <w:rsid w:val="00D8171E"/>
    <w:rsid w:val="00D8250F"/>
    <w:rsid w:val="00D83826"/>
    <w:rsid w:val="00D8592E"/>
    <w:rsid w:val="00D85D5E"/>
    <w:rsid w:val="00D861B7"/>
    <w:rsid w:val="00D8657C"/>
    <w:rsid w:val="00D92807"/>
    <w:rsid w:val="00D9294C"/>
    <w:rsid w:val="00D96E24"/>
    <w:rsid w:val="00D96ECE"/>
    <w:rsid w:val="00D97A6A"/>
    <w:rsid w:val="00D97CAB"/>
    <w:rsid w:val="00DA0251"/>
    <w:rsid w:val="00DA0DCA"/>
    <w:rsid w:val="00DA13D7"/>
    <w:rsid w:val="00DA2CD4"/>
    <w:rsid w:val="00DA2D46"/>
    <w:rsid w:val="00DA3131"/>
    <w:rsid w:val="00DA5012"/>
    <w:rsid w:val="00DA6876"/>
    <w:rsid w:val="00DB152D"/>
    <w:rsid w:val="00DB1D94"/>
    <w:rsid w:val="00DB34A4"/>
    <w:rsid w:val="00DB36BE"/>
    <w:rsid w:val="00DB6E5A"/>
    <w:rsid w:val="00DC0FB4"/>
    <w:rsid w:val="00DC2218"/>
    <w:rsid w:val="00DC2317"/>
    <w:rsid w:val="00DC2EB1"/>
    <w:rsid w:val="00DC3340"/>
    <w:rsid w:val="00DC37C2"/>
    <w:rsid w:val="00DC3B82"/>
    <w:rsid w:val="00DC3D63"/>
    <w:rsid w:val="00DC45EB"/>
    <w:rsid w:val="00DC4F00"/>
    <w:rsid w:val="00DC5090"/>
    <w:rsid w:val="00DC5E9A"/>
    <w:rsid w:val="00DC610B"/>
    <w:rsid w:val="00DC73F0"/>
    <w:rsid w:val="00DD233D"/>
    <w:rsid w:val="00DD27A8"/>
    <w:rsid w:val="00DD320A"/>
    <w:rsid w:val="00DD364F"/>
    <w:rsid w:val="00DD3FFB"/>
    <w:rsid w:val="00DD568A"/>
    <w:rsid w:val="00DD6928"/>
    <w:rsid w:val="00DD7907"/>
    <w:rsid w:val="00DE2049"/>
    <w:rsid w:val="00DE28C2"/>
    <w:rsid w:val="00DE61B2"/>
    <w:rsid w:val="00DE6DA3"/>
    <w:rsid w:val="00DE7607"/>
    <w:rsid w:val="00DF188F"/>
    <w:rsid w:val="00DF436A"/>
    <w:rsid w:val="00DF6BB3"/>
    <w:rsid w:val="00DF705E"/>
    <w:rsid w:val="00DF7F35"/>
    <w:rsid w:val="00E00099"/>
    <w:rsid w:val="00E00973"/>
    <w:rsid w:val="00E00ACC"/>
    <w:rsid w:val="00E048C3"/>
    <w:rsid w:val="00E05058"/>
    <w:rsid w:val="00E057F4"/>
    <w:rsid w:val="00E10183"/>
    <w:rsid w:val="00E134DC"/>
    <w:rsid w:val="00E1373E"/>
    <w:rsid w:val="00E13B62"/>
    <w:rsid w:val="00E1440C"/>
    <w:rsid w:val="00E16DBB"/>
    <w:rsid w:val="00E17747"/>
    <w:rsid w:val="00E21A54"/>
    <w:rsid w:val="00E21BAA"/>
    <w:rsid w:val="00E21FDF"/>
    <w:rsid w:val="00E23B5F"/>
    <w:rsid w:val="00E241E3"/>
    <w:rsid w:val="00E30506"/>
    <w:rsid w:val="00E318D0"/>
    <w:rsid w:val="00E32618"/>
    <w:rsid w:val="00E3303A"/>
    <w:rsid w:val="00E331AA"/>
    <w:rsid w:val="00E33EED"/>
    <w:rsid w:val="00E34708"/>
    <w:rsid w:val="00E35FF1"/>
    <w:rsid w:val="00E41DA6"/>
    <w:rsid w:val="00E4212F"/>
    <w:rsid w:val="00E42B88"/>
    <w:rsid w:val="00E42C2B"/>
    <w:rsid w:val="00E436B9"/>
    <w:rsid w:val="00E43EC9"/>
    <w:rsid w:val="00E47CB5"/>
    <w:rsid w:val="00E47EA9"/>
    <w:rsid w:val="00E503D6"/>
    <w:rsid w:val="00E50EFF"/>
    <w:rsid w:val="00E5124A"/>
    <w:rsid w:val="00E5154B"/>
    <w:rsid w:val="00E522A0"/>
    <w:rsid w:val="00E53213"/>
    <w:rsid w:val="00E5487F"/>
    <w:rsid w:val="00E55ADC"/>
    <w:rsid w:val="00E561EA"/>
    <w:rsid w:val="00E57D0B"/>
    <w:rsid w:val="00E6167B"/>
    <w:rsid w:val="00E6388E"/>
    <w:rsid w:val="00E64115"/>
    <w:rsid w:val="00E6442C"/>
    <w:rsid w:val="00E673DD"/>
    <w:rsid w:val="00E6740C"/>
    <w:rsid w:val="00E71E3C"/>
    <w:rsid w:val="00E721E5"/>
    <w:rsid w:val="00E7235F"/>
    <w:rsid w:val="00E734B7"/>
    <w:rsid w:val="00E734D7"/>
    <w:rsid w:val="00E739CA"/>
    <w:rsid w:val="00E750B6"/>
    <w:rsid w:val="00E75AAB"/>
    <w:rsid w:val="00E766EA"/>
    <w:rsid w:val="00E771A6"/>
    <w:rsid w:val="00E77F0C"/>
    <w:rsid w:val="00E80B62"/>
    <w:rsid w:val="00E8223F"/>
    <w:rsid w:val="00E83024"/>
    <w:rsid w:val="00E85A31"/>
    <w:rsid w:val="00E8743B"/>
    <w:rsid w:val="00E90866"/>
    <w:rsid w:val="00E91A7A"/>
    <w:rsid w:val="00E9296F"/>
    <w:rsid w:val="00E950DF"/>
    <w:rsid w:val="00E96A2B"/>
    <w:rsid w:val="00EA05C7"/>
    <w:rsid w:val="00EA0F09"/>
    <w:rsid w:val="00EA38A3"/>
    <w:rsid w:val="00EA4FF4"/>
    <w:rsid w:val="00EA663D"/>
    <w:rsid w:val="00EB0528"/>
    <w:rsid w:val="00EB0626"/>
    <w:rsid w:val="00EB16B5"/>
    <w:rsid w:val="00EB1DE8"/>
    <w:rsid w:val="00EB21CC"/>
    <w:rsid w:val="00EB298F"/>
    <w:rsid w:val="00EB29DD"/>
    <w:rsid w:val="00EB2D6E"/>
    <w:rsid w:val="00EB30EC"/>
    <w:rsid w:val="00EB372B"/>
    <w:rsid w:val="00EB3C2F"/>
    <w:rsid w:val="00EB58C3"/>
    <w:rsid w:val="00EB6692"/>
    <w:rsid w:val="00EB6F5E"/>
    <w:rsid w:val="00EB711D"/>
    <w:rsid w:val="00EB714D"/>
    <w:rsid w:val="00EB7825"/>
    <w:rsid w:val="00EB7D38"/>
    <w:rsid w:val="00EC2BEA"/>
    <w:rsid w:val="00EC2ED3"/>
    <w:rsid w:val="00EC4337"/>
    <w:rsid w:val="00EC4E8D"/>
    <w:rsid w:val="00EC5198"/>
    <w:rsid w:val="00EC63C2"/>
    <w:rsid w:val="00EC7A1E"/>
    <w:rsid w:val="00EC7C23"/>
    <w:rsid w:val="00ED1CD7"/>
    <w:rsid w:val="00ED21E5"/>
    <w:rsid w:val="00ED2F5A"/>
    <w:rsid w:val="00ED39B5"/>
    <w:rsid w:val="00ED6EA5"/>
    <w:rsid w:val="00ED7EE4"/>
    <w:rsid w:val="00EE045B"/>
    <w:rsid w:val="00EE0FD6"/>
    <w:rsid w:val="00EE304E"/>
    <w:rsid w:val="00EE353F"/>
    <w:rsid w:val="00EE3674"/>
    <w:rsid w:val="00EE3E90"/>
    <w:rsid w:val="00EE4159"/>
    <w:rsid w:val="00EE46A7"/>
    <w:rsid w:val="00EE5460"/>
    <w:rsid w:val="00EE5677"/>
    <w:rsid w:val="00EE5740"/>
    <w:rsid w:val="00EE596A"/>
    <w:rsid w:val="00EE688B"/>
    <w:rsid w:val="00EE6B53"/>
    <w:rsid w:val="00EE78B1"/>
    <w:rsid w:val="00EF1709"/>
    <w:rsid w:val="00EF774A"/>
    <w:rsid w:val="00EF7900"/>
    <w:rsid w:val="00F006A5"/>
    <w:rsid w:val="00F00C12"/>
    <w:rsid w:val="00F00C1E"/>
    <w:rsid w:val="00F02382"/>
    <w:rsid w:val="00F03D10"/>
    <w:rsid w:val="00F043C7"/>
    <w:rsid w:val="00F05793"/>
    <w:rsid w:val="00F071E6"/>
    <w:rsid w:val="00F111EB"/>
    <w:rsid w:val="00F1386A"/>
    <w:rsid w:val="00F1513B"/>
    <w:rsid w:val="00F175AB"/>
    <w:rsid w:val="00F200D3"/>
    <w:rsid w:val="00F222D4"/>
    <w:rsid w:val="00F22442"/>
    <w:rsid w:val="00F22F5A"/>
    <w:rsid w:val="00F23499"/>
    <w:rsid w:val="00F23680"/>
    <w:rsid w:val="00F263EF"/>
    <w:rsid w:val="00F2761A"/>
    <w:rsid w:val="00F308EE"/>
    <w:rsid w:val="00F30FD8"/>
    <w:rsid w:val="00F3223B"/>
    <w:rsid w:val="00F32869"/>
    <w:rsid w:val="00F33641"/>
    <w:rsid w:val="00F36E4E"/>
    <w:rsid w:val="00F4088F"/>
    <w:rsid w:val="00F40A17"/>
    <w:rsid w:val="00F40A9F"/>
    <w:rsid w:val="00F40F59"/>
    <w:rsid w:val="00F41D30"/>
    <w:rsid w:val="00F42FB4"/>
    <w:rsid w:val="00F438EA"/>
    <w:rsid w:val="00F440B1"/>
    <w:rsid w:val="00F45379"/>
    <w:rsid w:val="00F455E0"/>
    <w:rsid w:val="00F474CD"/>
    <w:rsid w:val="00F4757E"/>
    <w:rsid w:val="00F518BD"/>
    <w:rsid w:val="00F51A29"/>
    <w:rsid w:val="00F53598"/>
    <w:rsid w:val="00F5373B"/>
    <w:rsid w:val="00F547DD"/>
    <w:rsid w:val="00F54976"/>
    <w:rsid w:val="00F54AF3"/>
    <w:rsid w:val="00F55DD3"/>
    <w:rsid w:val="00F56C41"/>
    <w:rsid w:val="00F57786"/>
    <w:rsid w:val="00F61E64"/>
    <w:rsid w:val="00F61F78"/>
    <w:rsid w:val="00F62102"/>
    <w:rsid w:val="00F62E8A"/>
    <w:rsid w:val="00F63202"/>
    <w:rsid w:val="00F6338D"/>
    <w:rsid w:val="00F64A44"/>
    <w:rsid w:val="00F70642"/>
    <w:rsid w:val="00F7102A"/>
    <w:rsid w:val="00F714DD"/>
    <w:rsid w:val="00F72913"/>
    <w:rsid w:val="00F72A09"/>
    <w:rsid w:val="00F7344C"/>
    <w:rsid w:val="00F7380B"/>
    <w:rsid w:val="00F766BF"/>
    <w:rsid w:val="00F80462"/>
    <w:rsid w:val="00F81D3C"/>
    <w:rsid w:val="00F8361A"/>
    <w:rsid w:val="00F8447E"/>
    <w:rsid w:val="00F8530F"/>
    <w:rsid w:val="00F85B65"/>
    <w:rsid w:val="00F86775"/>
    <w:rsid w:val="00F876F3"/>
    <w:rsid w:val="00F91AE0"/>
    <w:rsid w:val="00F91C14"/>
    <w:rsid w:val="00F936BA"/>
    <w:rsid w:val="00F944B0"/>
    <w:rsid w:val="00F95991"/>
    <w:rsid w:val="00F95BAA"/>
    <w:rsid w:val="00F964B6"/>
    <w:rsid w:val="00F96A0F"/>
    <w:rsid w:val="00F970A8"/>
    <w:rsid w:val="00F97B1C"/>
    <w:rsid w:val="00FA112F"/>
    <w:rsid w:val="00FA118E"/>
    <w:rsid w:val="00FA1C29"/>
    <w:rsid w:val="00FA322F"/>
    <w:rsid w:val="00FA337B"/>
    <w:rsid w:val="00FB060A"/>
    <w:rsid w:val="00FB0AA8"/>
    <w:rsid w:val="00FB1081"/>
    <w:rsid w:val="00FB2356"/>
    <w:rsid w:val="00FB255E"/>
    <w:rsid w:val="00FB26DC"/>
    <w:rsid w:val="00FB4F15"/>
    <w:rsid w:val="00FB512C"/>
    <w:rsid w:val="00FB554D"/>
    <w:rsid w:val="00FB6B15"/>
    <w:rsid w:val="00FB713A"/>
    <w:rsid w:val="00FB7E72"/>
    <w:rsid w:val="00FC1DF2"/>
    <w:rsid w:val="00FC382E"/>
    <w:rsid w:val="00FC4972"/>
    <w:rsid w:val="00FC5A9E"/>
    <w:rsid w:val="00FC69EA"/>
    <w:rsid w:val="00FC6A55"/>
    <w:rsid w:val="00FC6BC8"/>
    <w:rsid w:val="00FD5144"/>
    <w:rsid w:val="00FD7045"/>
    <w:rsid w:val="00FD75B4"/>
    <w:rsid w:val="00FE018B"/>
    <w:rsid w:val="00FE183A"/>
    <w:rsid w:val="00FE1C19"/>
    <w:rsid w:val="00FE279B"/>
    <w:rsid w:val="00FE40DC"/>
    <w:rsid w:val="00FE466A"/>
    <w:rsid w:val="00FE6072"/>
    <w:rsid w:val="00FE6286"/>
    <w:rsid w:val="00FE678A"/>
    <w:rsid w:val="00FE6F58"/>
    <w:rsid w:val="00FE7A3F"/>
    <w:rsid w:val="00FF10B1"/>
    <w:rsid w:val="00FF196C"/>
    <w:rsid w:val="00FF197D"/>
    <w:rsid w:val="00FF28DF"/>
    <w:rsid w:val="00FF2B7B"/>
    <w:rsid w:val="00FF398A"/>
    <w:rsid w:val="00FF3B6D"/>
    <w:rsid w:val="00FF4162"/>
    <w:rsid w:val="00FF4D6D"/>
    <w:rsid w:val="00FF5698"/>
    <w:rsid w:val="00FF6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54E0B"/>
  <w15:chartTrackingRefBased/>
  <w15:docId w15:val="{B2C79276-761C-408B-AF7D-EB1AC579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17E"/>
    <w:pPr>
      <w:spacing w:before="120" w:after="120" w:line="480" w:lineRule="auto"/>
    </w:pPr>
  </w:style>
  <w:style w:type="paragraph" w:styleId="Heading1">
    <w:name w:val="heading 1"/>
    <w:basedOn w:val="Normal"/>
    <w:next w:val="Normal"/>
    <w:link w:val="Heading1Char"/>
    <w:uiPriority w:val="9"/>
    <w:qFormat/>
    <w:rsid w:val="00593A27"/>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93A2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593A2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593A27"/>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766C4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3A2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3A2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3A2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3A2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A27"/>
    <w:rPr>
      <w:rFonts w:asciiTheme="majorHAnsi" w:eastAsiaTheme="majorEastAsia" w:hAnsiTheme="majorHAnsi" w:cstheme="majorBidi"/>
      <w:color w:val="2F5496" w:themeColor="accent1" w:themeShade="BF"/>
      <w:sz w:val="26"/>
      <w:szCs w:val="26"/>
      <w:u w:val="single"/>
    </w:rPr>
  </w:style>
  <w:style w:type="character" w:customStyle="1" w:styleId="Heading1Char">
    <w:name w:val="Heading 1 Char"/>
    <w:basedOn w:val="DefaultParagraphFont"/>
    <w:link w:val="Heading1"/>
    <w:uiPriority w:val="9"/>
    <w:rsid w:val="00593A2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0038CB"/>
    <w:pPr>
      <w:ind w:left="720"/>
      <w:contextualSpacing/>
    </w:pPr>
  </w:style>
  <w:style w:type="paragraph" w:styleId="NormalWeb">
    <w:name w:val="Normal (Web)"/>
    <w:basedOn w:val="Normal"/>
    <w:uiPriority w:val="99"/>
    <w:unhideWhenUsed/>
    <w:rsid w:val="00E503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link w:val="TitleChar"/>
    <w:qFormat/>
    <w:rsid w:val="002E3BAE"/>
    <w:pPr>
      <w:spacing w:before="240" w:after="60" w:line="360" w:lineRule="auto"/>
      <w:outlineLvl w:val="0"/>
    </w:pPr>
    <w:rPr>
      <w:rFonts w:ascii="Calibri" w:eastAsia="MS Mincho" w:hAnsi="Calibri" w:cs="Arial"/>
      <w:b/>
      <w:bCs/>
      <w:color w:val="000000"/>
      <w:kern w:val="28"/>
      <w:sz w:val="32"/>
      <w:szCs w:val="32"/>
      <w:lang w:eastAsia="ja-JP"/>
      <w14:ligatures w14:val="none"/>
    </w:rPr>
  </w:style>
  <w:style w:type="character" w:customStyle="1" w:styleId="TitleChar">
    <w:name w:val="Title Char"/>
    <w:basedOn w:val="DefaultParagraphFont"/>
    <w:link w:val="Title"/>
    <w:rsid w:val="002E3BAE"/>
    <w:rPr>
      <w:rFonts w:ascii="Calibri" w:eastAsia="MS Mincho" w:hAnsi="Calibri" w:cs="Arial"/>
      <w:b/>
      <w:bCs/>
      <w:color w:val="000000"/>
      <w:kern w:val="28"/>
      <w:sz w:val="32"/>
      <w:szCs w:val="32"/>
      <w:lang w:eastAsia="ja-JP"/>
      <w14:ligatures w14:val="none"/>
    </w:rPr>
  </w:style>
  <w:style w:type="character" w:customStyle="1" w:styleId="Heading3Char">
    <w:name w:val="Heading 3 Char"/>
    <w:basedOn w:val="DefaultParagraphFont"/>
    <w:link w:val="Heading3"/>
    <w:uiPriority w:val="9"/>
    <w:rsid w:val="00593A2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593A27"/>
    <w:rPr>
      <w:rFonts w:asciiTheme="majorHAnsi" w:eastAsiaTheme="majorEastAsia" w:hAnsiTheme="majorHAnsi" w:cstheme="majorBidi"/>
      <w:iCs/>
      <w:color w:val="2F5496" w:themeColor="accent1" w:themeShade="BF"/>
    </w:rPr>
  </w:style>
  <w:style w:type="character" w:styleId="CommentReference">
    <w:name w:val="annotation reference"/>
    <w:basedOn w:val="DefaultParagraphFont"/>
    <w:uiPriority w:val="99"/>
    <w:semiHidden/>
    <w:unhideWhenUsed/>
    <w:rsid w:val="00766C45"/>
    <w:rPr>
      <w:sz w:val="16"/>
      <w:szCs w:val="16"/>
    </w:rPr>
  </w:style>
  <w:style w:type="paragraph" w:styleId="CommentText">
    <w:name w:val="annotation text"/>
    <w:basedOn w:val="Normal"/>
    <w:link w:val="CommentTextChar"/>
    <w:uiPriority w:val="99"/>
    <w:unhideWhenUsed/>
    <w:rsid w:val="00766C45"/>
    <w:pPr>
      <w:spacing w:before="240" w:after="240" w:line="240" w:lineRule="auto"/>
    </w:pPr>
    <w:rPr>
      <w:rFonts w:eastAsia="Times New Roman" w:cs="Times New Roman"/>
      <w:color w:val="000000" w:themeColor="text1"/>
      <w:kern w:val="0"/>
      <w:sz w:val="20"/>
      <w:szCs w:val="20"/>
      <w:lang w:eastAsia="zh-CN"/>
      <w14:ligatures w14:val="none"/>
    </w:rPr>
  </w:style>
  <w:style w:type="character" w:customStyle="1" w:styleId="CommentTextChar">
    <w:name w:val="Comment Text Char"/>
    <w:basedOn w:val="DefaultParagraphFont"/>
    <w:link w:val="CommentText"/>
    <w:uiPriority w:val="99"/>
    <w:rsid w:val="00766C45"/>
    <w:rPr>
      <w:rFonts w:eastAsia="Times New Roman" w:cs="Times New Roman"/>
      <w:color w:val="000000" w:themeColor="text1"/>
      <w:kern w:val="0"/>
      <w:sz w:val="20"/>
      <w:szCs w:val="20"/>
      <w:lang w:eastAsia="zh-CN"/>
      <w14:ligatures w14:val="none"/>
    </w:rPr>
  </w:style>
  <w:style w:type="character" w:customStyle="1" w:styleId="Heading5Char">
    <w:name w:val="Heading 5 Char"/>
    <w:basedOn w:val="DefaultParagraphFont"/>
    <w:link w:val="Heading5"/>
    <w:uiPriority w:val="9"/>
    <w:rsid w:val="00766C45"/>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A40159"/>
    <w:rPr>
      <w:b/>
      <w:bCs/>
    </w:rPr>
  </w:style>
  <w:style w:type="character" w:customStyle="1" w:styleId="Heading6Char">
    <w:name w:val="Heading 6 Char"/>
    <w:basedOn w:val="DefaultParagraphFont"/>
    <w:link w:val="Heading6"/>
    <w:uiPriority w:val="9"/>
    <w:semiHidden/>
    <w:rsid w:val="00593A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93A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93A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3A2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C203F"/>
    <w:rPr>
      <w:color w:val="0000FF"/>
      <w:u w:val="single"/>
    </w:rPr>
  </w:style>
  <w:style w:type="character" w:customStyle="1" w:styleId="linked-author">
    <w:name w:val="linked-author"/>
    <w:basedOn w:val="DefaultParagraphFont"/>
    <w:rsid w:val="00427EFF"/>
  </w:style>
  <w:style w:type="character" w:styleId="Emphasis">
    <w:name w:val="Emphasis"/>
    <w:basedOn w:val="DefaultParagraphFont"/>
    <w:uiPriority w:val="20"/>
    <w:qFormat/>
    <w:rsid w:val="00A50001"/>
    <w:rPr>
      <w:rFonts w:asciiTheme="minorHAnsi" w:hAnsiTheme="minorHAnsi" w:cs="Calibri" w:hint="default"/>
      <w:i/>
      <w:iCs/>
      <w:color w:val="0070C0"/>
      <w:sz w:val="24"/>
    </w:rPr>
  </w:style>
  <w:style w:type="paragraph" w:styleId="TOC1">
    <w:name w:val="toc 1"/>
    <w:basedOn w:val="Normal"/>
    <w:next w:val="Normal"/>
    <w:autoRedefine/>
    <w:uiPriority w:val="39"/>
    <w:unhideWhenUsed/>
    <w:rsid w:val="00027F2E"/>
    <w:pPr>
      <w:spacing w:after="100"/>
    </w:pPr>
  </w:style>
  <w:style w:type="paragraph" w:styleId="TOC2">
    <w:name w:val="toc 2"/>
    <w:basedOn w:val="Normal"/>
    <w:next w:val="Normal"/>
    <w:autoRedefine/>
    <w:uiPriority w:val="39"/>
    <w:unhideWhenUsed/>
    <w:rsid w:val="00027F2E"/>
    <w:pPr>
      <w:spacing w:after="100"/>
      <w:ind w:left="220"/>
    </w:pPr>
  </w:style>
  <w:style w:type="character" w:styleId="PlaceholderText">
    <w:name w:val="Placeholder Text"/>
    <w:basedOn w:val="DefaultParagraphFont"/>
    <w:uiPriority w:val="99"/>
    <w:semiHidden/>
    <w:rsid w:val="003B3594"/>
    <w:rPr>
      <w:color w:val="666666"/>
    </w:rPr>
  </w:style>
  <w:style w:type="table" w:styleId="TableGrid">
    <w:name w:val="Table Grid"/>
    <w:basedOn w:val="TableNormal"/>
    <w:uiPriority w:val="39"/>
    <w:rsid w:val="00F0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900A5E"/>
  </w:style>
  <w:style w:type="character" w:customStyle="1" w:styleId="mrel">
    <w:name w:val="mrel"/>
    <w:basedOn w:val="DefaultParagraphFont"/>
    <w:rsid w:val="00900A5E"/>
  </w:style>
  <w:style w:type="character" w:customStyle="1" w:styleId="mopen">
    <w:name w:val="mopen"/>
    <w:basedOn w:val="DefaultParagraphFont"/>
    <w:rsid w:val="00900A5E"/>
  </w:style>
  <w:style w:type="character" w:customStyle="1" w:styleId="mbin">
    <w:name w:val="mbin"/>
    <w:basedOn w:val="DefaultParagraphFont"/>
    <w:rsid w:val="00900A5E"/>
  </w:style>
  <w:style w:type="character" w:customStyle="1" w:styleId="mclose">
    <w:name w:val="mclose"/>
    <w:basedOn w:val="DefaultParagraphFont"/>
    <w:rsid w:val="00900A5E"/>
  </w:style>
  <w:style w:type="character" w:customStyle="1" w:styleId="katex-mathml">
    <w:name w:val="katex-mathml"/>
    <w:basedOn w:val="DefaultParagraphFont"/>
    <w:rsid w:val="00900A5E"/>
  </w:style>
  <w:style w:type="paragraph" w:customStyle="1" w:styleId="Default">
    <w:name w:val="Default"/>
    <w:rsid w:val="00F964B6"/>
    <w:pPr>
      <w:autoSpaceDE w:val="0"/>
      <w:autoSpaceDN w:val="0"/>
      <w:adjustRightInd w:val="0"/>
      <w:spacing w:after="0" w:line="240" w:lineRule="auto"/>
    </w:pPr>
    <w:rPr>
      <w:rFonts w:ascii="Open Sans" w:hAnsi="Open Sans" w:cs="Open Sans"/>
      <w:color w:val="000000"/>
      <w:kern w:val="0"/>
      <w:sz w:val="24"/>
      <w:szCs w:val="24"/>
    </w:rPr>
  </w:style>
  <w:style w:type="paragraph" w:styleId="Subtitle">
    <w:name w:val="Subtitle"/>
    <w:basedOn w:val="Normal"/>
    <w:next w:val="Normal"/>
    <w:link w:val="SubtitleChar"/>
    <w:uiPriority w:val="11"/>
    <w:qFormat/>
    <w:rsid w:val="0053630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302"/>
    <w:rPr>
      <w:rFonts w:eastAsiaTheme="minorEastAsia"/>
      <w:color w:val="5A5A5A" w:themeColor="text1" w:themeTint="A5"/>
      <w:spacing w:val="15"/>
    </w:rPr>
  </w:style>
  <w:style w:type="character" w:customStyle="1" w:styleId="apple-converted-space">
    <w:name w:val="apple-converted-space"/>
    <w:basedOn w:val="DefaultParagraphFont"/>
    <w:rsid w:val="00622E89"/>
  </w:style>
  <w:style w:type="paragraph" w:styleId="NoSpacing">
    <w:name w:val="No Spacing"/>
    <w:uiPriority w:val="1"/>
    <w:qFormat/>
    <w:rsid w:val="00817C55"/>
    <w:pPr>
      <w:spacing w:after="0" w:line="240" w:lineRule="auto"/>
    </w:pPr>
  </w:style>
  <w:style w:type="character" w:customStyle="1" w:styleId="citation-0">
    <w:name w:val="citation-0"/>
    <w:basedOn w:val="DefaultParagraphFont"/>
    <w:rsid w:val="004A6207"/>
  </w:style>
  <w:style w:type="paragraph" w:styleId="TOC3">
    <w:name w:val="toc 3"/>
    <w:basedOn w:val="Normal"/>
    <w:next w:val="Normal"/>
    <w:autoRedefine/>
    <w:uiPriority w:val="39"/>
    <w:unhideWhenUsed/>
    <w:rsid w:val="00CB7A08"/>
    <w:pPr>
      <w:spacing w:before="0" w:after="100" w:line="278" w:lineRule="auto"/>
      <w:ind w:left="480"/>
    </w:pPr>
    <w:rPr>
      <w:rFonts w:eastAsiaTheme="minorEastAsia"/>
      <w:sz w:val="24"/>
      <w:szCs w:val="24"/>
      <w:lang w:eastAsia="zh-CN"/>
    </w:rPr>
  </w:style>
  <w:style w:type="paragraph" w:styleId="TOC4">
    <w:name w:val="toc 4"/>
    <w:basedOn w:val="Normal"/>
    <w:next w:val="Normal"/>
    <w:autoRedefine/>
    <w:uiPriority w:val="39"/>
    <w:unhideWhenUsed/>
    <w:rsid w:val="00CB7A08"/>
    <w:pPr>
      <w:spacing w:before="0" w:after="100" w:line="278" w:lineRule="auto"/>
      <w:ind w:left="720"/>
    </w:pPr>
    <w:rPr>
      <w:rFonts w:eastAsiaTheme="minorEastAsia"/>
      <w:sz w:val="24"/>
      <w:szCs w:val="24"/>
      <w:lang w:eastAsia="zh-CN"/>
    </w:rPr>
  </w:style>
  <w:style w:type="paragraph" w:styleId="TOC5">
    <w:name w:val="toc 5"/>
    <w:basedOn w:val="Normal"/>
    <w:next w:val="Normal"/>
    <w:autoRedefine/>
    <w:uiPriority w:val="39"/>
    <w:unhideWhenUsed/>
    <w:rsid w:val="00CB7A08"/>
    <w:pPr>
      <w:spacing w:before="0" w:after="100" w:line="278" w:lineRule="auto"/>
      <w:ind w:left="960"/>
    </w:pPr>
    <w:rPr>
      <w:rFonts w:eastAsiaTheme="minorEastAsia"/>
      <w:sz w:val="24"/>
      <w:szCs w:val="24"/>
      <w:lang w:eastAsia="zh-CN"/>
    </w:rPr>
  </w:style>
  <w:style w:type="paragraph" w:styleId="TOC6">
    <w:name w:val="toc 6"/>
    <w:basedOn w:val="Normal"/>
    <w:next w:val="Normal"/>
    <w:autoRedefine/>
    <w:uiPriority w:val="39"/>
    <w:unhideWhenUsed/>
    <w:rsid w:val="00CB7A08"/>
    <w:pPr>
      <w:spacing w:before="0" w:after="100" w:line="278" w:lineRule="auto"/>
      <w:ind w:left="1200"/>
    </w:pPr>
    <w:rPr>
      <w:rFonts w:eastAsiaTheme="minorEastAsia"/>
      <w:sz w:val="24"/>
      <w:szCs w:val="24"/>
      <w:lang w:eastAsia="zh-CN"/>
    </w:rPr>
  </w:style>
  <w:style w:type="paragraph" w:styleId="TOC7">
    <w:name w:val="toc 7"/>
    <w:basedOn w:val="Normal"/>
    <w:next w:val="Normal"/>
    <w:autoRedefine/>
    <w:uiPriority w:val="39"/>
    <w:unhideWhenUsed/>
    <w:rsid w:val="00CB7A08"/>
    <w:pPr>
      <w:spacing w:before="0" w:after="100" w:line="278" w:lineRule="auto"/>
      <w:ind w:left="1440"/>
    </w:pPr>
    <w:rPr>
      <w:rFonts w:eastAsiaTheme="minorEastAsia"/>
      <w:sz w:val="24"/>
      <w:szCs w:val="24"/>
      <w:lang w:eastAsia="zh-CN"/>
    </w:rPr>
  </w:style>
  <w:style w:type="paragraph" w:styleId="TOC8">
    <w:name w:val="toc 8"/>
    <w:basedOn w:val="Normal"/>
    <w:next w:val="Normal"/>
    <w:autoRedefine/>
    <w:uiPriority w:val="39"/>
    <w:unhideWhenUsed/>
    <w:rsid w:val="00CB7A08"/>
    <w:pPr>
      <w:spacing w:before="0" w:after="100" w:line="278" w:lineRule="auto"/>
      <w:ind w:left="1680"/>
    </w:pPr>
    <w:rPr>
      <w:rFonts w:eastAsiaTheme="minorEastAsia"/>
      <w:sz w:val="24"/>
      <w:szCs w:val="24"/>
      <w:lang w:eastAsia="zh-CN"/>
    </w:rPr>
  </w:style>
  <w:style w:type="paragraph" w:styleId="TOC9">
    <w:name w:val="toc 9"/>
    <w:basedOn w:val="Normal"/>
    <w:next w:val="Normal"/>
    <w:autoRedefine/>
    <w:uiPriority w:val="39"/>
    <w:unhideWhenUsed/>
    <w:rsid w:val="00CB7A08"/>
    <w:pPr>
      <w:spacing w:before="0" w:after="100" w:line="278" w:lineRule="auto"/>
      <w:ind w:left="1920"/>
    </w:pPr>
    <w:rPr>
      <w:rFonts w:eastAsiaTheme="minorEastAsia"/>
      <w:sz w:val="24"/>
      <w:szCs w:val="24"/>
      <w:lang w:eastAsia="zh-CN"/>
    </w:rPr>
  </w:style>
  <w:style w:type="character" w:styleId="UnresolvedMention">
    <w:name w:val="Unresolved Mention"/>
    <w:basedOn w:val="DefaultParagraphFont"/>
    <w:uiPriority w:val="99"/>
    <w:semiHidden/>
    <w:unhideWhenUsed/>
    <w:rsid w:val="00CB7A08"/>
    <w:rPr>
      <w:color w:val="605E5C"/>
      <w:shd w:val="clear" w:color="auto" w:fill="E1DFDD"/>
    </w:rPr>
  </w:style>
  <w:style w:type="paragraph" w:styleId="Caption">
    <w:name w:val="caption"/>
    <w:basedOn w:val="Normal"/>
    <w:next w:val="Normal"/>
    <w:uiPriority w:val="35"/>
    <w:unhideWhenUsed/>
    <w:qFormat/>
    <w:rsid w:val="00EE78B1"/>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7692">
      <w:bodyDiv w:val="1"/>
      <w:marLeft w:val="0"/>
      <w:marRight w:val="0"/>
      <w:marTop w:val="0"/>
      <w:marBottom w:val="0"/>
      <w:divBdr>
        <w:top w:val="none" w:sz="0" w:space="0" w:color="auto"/>
        <w:left w:val="none" w:sz="0" w:space="0" w:color="auto"/>
        <w:bottom w:val="none" w:sz="0" w:space="0" w:color="auto"/>
        <w:right w:val="none" w:sz="0" w:space="0" w:color="auto"/>
      </w:divBdr>
    </w:div>
    <w:div w:id="50664610">
      <w:bodyDiv w:val="1"/>
      <w:marLeft w:val="0"/>
      <w:marRight w:val="0"/>
      <w:marTop w:val="0"/>
      <w:marBottom w:val="0"/>
      <w:divBdr>
        <w:top w:val="none" w:sz="0" w:space="0" w:color="auto"/>
        <w:left w:val="none" w:sz="0" w:space="0" w:color="auto"/>
        <w:bottom w:val="none" w:sz="0" w:space="0" w:color="auto"/>
        <w:right w:val="none" w:sz="0" w:space="0" w:color="auto"/>
      </w:divBdr>
    </w:div>
    <w:div w:id="58527228">
      <w:bodyDiv w:val="1"/>
      <w:marLeft w:val="0"/>
      <w:marRight w:val="0"/>
      <w:marTop w:val="0"/>
      <w:marBottom w:val="0"/>
      <w:divBdr>
        <w:top w:val="none" w:sz="0" w:space="0" w:color="auto"/>
        <w:left w:val="none" w:sz="0" w:space="0" w:color="auto"/>
        <w:bottom w:val="none" w:sz="0" w:space="0" w:color="auto"/>
        <w:right w:val="none" w:sz="0" w:space="0" w:color="auto"/>
      </w:divBdr>
    </w:div>
    <w:div w:id="61955339">
      <w:bodyDiv w:val="1"/>
      <w:marLeft w:val="0"/>
      <w:marRight w:val="0"/>
      <w:marTop w:val="0"/>
      <w:marBottom w:val="0"/>
      <w:divBdr>
        <w:top w:val="none" w:sz="0" w:space="0" w:color="auto"/>
        <w:left w:val="none" w:sz="0" w:space="0" w:color="auto"/>
        <w:bottom w:val="none" w:sz="0" w:space="0" w:color="auto"/>
        <w:right w:val="none" w:sz="0" w:space="0" w:color="auto"/>
      </w:divBdr>
      <w:divsChild>
        <w:div w:id="1721051575">
          <w:marLeft w:val="0"/>
          <w:marRight w:val="0"/>
          <w:marTop w:val="0"/>
          <w:marBottom w:val="0"/>
          <w:divBdr>
            <w:top w:val="single" w:sz="2" w:space="0" w:color="D9D9E3"/>
            <w:left w:val="single" w:sz="2" w:space="0" w:color="D9D9E3"/>
            <w:bottom w:val="single" w:sz="2" w:space="0" w:color="D9D9E3"/>
            <w:right w:val="single" w:sz="2" w:space="0" w:color="D9D9E3"/>
          </w:divBdr>
          <w:divsChild>
            <w:div w:id="1634557424">
              <w:marLeft w:val="0"/>
              <w:marRight w:val="0"/>
              <w:marTop w:val="0"/>
              <w:marBottom w:val="0"/>
              <w:divBdr>
                <w:top w:val="single" w:sz="2" w:space="0" w:color="D9D9E3"/>
                <w:left w:val="single" w:sz="2" w:space="0" w:color="D9D9E3"/>
                <w:bottom w:val="single" w:sz="2" w:space="0" w:color="D9D9E3"/>
                <w:right w:val="single" w:sz="2" w:space="0" w:color="D9D9E3"/>
              </w:divBdr>
              <w:divsChild>
                <w:div w:id="7416010">
                  <w:marLeft w:val="0"/>
                  <w:marRight w:val="0"/>
                  <w:marTop w:val="0"/>
                  <w:marBottom w:val="0"/>
                  <w:divBdr>
                    <w:top w:val="single" w:sz="2" w:space="0" w:color="D9D9E3"/>
                    <w:left w:val="single" w:sz="2" w:space="0" w:color="D9D9E3"/>
                    <w:bottom w:val="single" w:sz="2" w:space="0" w:color="D9D9E3"/>
                    <w:right w:val="single" w:sz="2" w:space="0" w:color="D9D9E3"/>
                  </w:divBdr>
                  <w:divsChild>
                    <w:div w:id="225066782">
                      <w:marLeft w:val="0"/>
                      <w:marRight w:val="0"/>
                      <w:marTop w:val="0"/>
                      <w:marBottom w:val="0"/>
                      <w:divBdr>
                        <w:top w:val="single" w:sz="2" w:space="0" w:color="D9D9E3"/>
                        <w:left w:val="single" w:sz="2" w:space="0" w:color="D9D9E3"/>
                        <w:bottom w:val="single" w:sz="2" w:space="0" w:color="D9D9E3"/>
                        <w:right w:val="single" w:sz="2" w:space="0" w:color="D9D9E3"/>
                      </w:divBdr>
                      <w:divsChild>
                        <w:div w:id="1725980375">
                          <w:marLeft w:val="0"/>
                          <w:marRight w:val="0"/>
                          <w:marTop w:val="0"/>
                          <w:marBottom w:val="0"/>
                          <w:divBdr>
                            <w:top w:val="single" w:sz="2" w:space="0" w:color="D9D9E3"/>
                            <w:left w:val="single" w:sz="2" w:space="0" w:color="D9D9E3"/>
                            <w:bottom w:val="single" w:sz="2" w:space="0" w:color="D9D9E3"/>
                            <w:right w:val="single" w:sz="2" w:space="0" w:color="D9D9E3"/>
                          </w:divBdr>
                          <w:divsChild>
                            <w:div w:id="599535205">
                              <w:marLeft w:val="0"/>
                              <w:marRight w:val="0"/>
                              <w:marTop w:val="100"/>
                              <w:marBottom w:val="100"/>
                              <w:divBdr>
                                <w:top w:val="single" w:sz="2" w:space="0" w:color="D9D9E3"/>
                                <w:left w:val="single" w:sz="2" w:space="0" w:color="D9D9E3"/>
                                <w:bottom w:val="single" w:sz="2" w:space="0" w:color="D9D9E3"/>
                                <w:right w:val="single" w:sz="2" w:space="0" w:color="D9D9E3"/>
                              </w:divBdr>
                              <w:divsChild>
                                <w:div w:id="425730238">
                                  <w:marLeft w:val="0"/>
                                  <w:marRight w:val="0"/>
                                  <w:marTop w:val="0"/>
                                  <w:marBottom w:val="0"/>
                                  <w:divBdr>
                                    <w:top w:val="single" w:sz="2" w:space="0" w:color="D9D9E3"/>
                                    <w:left w:val="single" w:sz="2" w:space="0" w:color="D9D9E3"/>
                                    <w:bottom w:val="single" w:sz="2" w:space="0" w:color="D9D9E3"/>
                                    <w:right w:val="single" w:sz="2" w:space="0" w:color="D9D9E3"/>
                                  </w:divBdr>
                                  <w:divsChild>
                                    <w:div w:id="310064165">
                                      <w:marLeft w:val="0"/>
                                      <w:marRight w:val="0"/>
                                      <w:marTop w:val="0"/>
                                      <w:marBottom w:val="0"/>
                                      <w:divBdr>
                                        <w:top w:val="single" w:sz="2" w:space="0" w:color="D9D9E3"/>
                                        <w:left w:val="single" w:sz="2" w:space="0" w:color="D9D9E3"/>
                                        <w:bottom w:val="single" w:sz="2" w:space="0" w:color="D9D9E3"/>
                                        <w:right w:val="single" w:sz="2" w:space="0" w:color="D9D9E3"/>
                                      </w:divBdr>
                                      <w:divsChild>
                                        <w:div w:id="1537351686">
                                          <w:marLeft w:val="0"/>
                                          <w:marRight w:val="0"/>
                                          <w:marTop w:val="0"/>
                                          <w:marBottom w:val="0"/>
                                          <w:divBdr>
                                            <w:top w:val="single" w:sz="2" w:space="0" w:color="D9D9E3"/>
                                            <w:left w:val="single" w:sz="2" w:space="0" w:color="D9D9E3"/>
                                            <w:bottom w:val="single" w:sz="2" w:space="0" w:color="D9D9E3"/>
                                            <w:right w:val="single" w:sz="2" w:space="0" w:color="D9D9E3"/>
                                          </w:divBdr>
                                          <w:divsChild>
                                            <w:div w:id="1546940503">
                                              <w:marLeft w:val="0"/>
                                              <w:marRight w:val="0"/>
                                              <w:marTop w:val="0"/>
                                              <w:marBottom w:val="0"/>
                                              <w:divBdr>
                                                <w:top w:val="single" w:sz="2" w:space="0" w:color="D9D9E3"/>
                                                <w:left w:val="single" w:sz="2" w:space="0" w:color="D9D9E3"/>
                                                <w:bottom w:val="single" w:sz="2" w:space="0" w:color="D9D9E3"/>
                                                <w:right w:val="single" w:sz="2" w:space="0" w:color="D9D9E3"/>
                                              </w:divBdr>
                                              <w:divsChild>
                                                <w:div w:id="2055227710">
                                                  <w:marLeft w:val="0"/>
                                                  <w:marRight w:val="0"/>
                                                  <w:marTop w:val="0"/>
                                                  <w:marBottom w:val="0"/>
                                                  <w:divBdr>
                                                    <w:top w:val="single" w:sz="2" w:space="0" w:color="D9D9E3"/>
                                                    <w:left w:val="single" w:sz="2" w:space="0" w:color="D9D9E3"/>
                                                    <w:bottom w:val="single" w:sz="2" w:space="0" w:color="D9D9E3"/>
                                                    <w:right w:val="single" w:sz="2" w:space="0" w:color="D9D9E3"/>
                                                  </w:divBdr>
                                                  <w:divsChild>
                                                    <w:div w:id="1191651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7680194">
          <w:marLeft w:val="0"/>
          <w:marRight w:val="0"/>
          <w:marTop w:val="0"/>
          <w:marBottom w:val="0"/>
          <w:divBdr>
            <w:top w:val="none" w:sz="0" w:space="0" w:color="auto"/>
            <w:left w:val="none" w:sz="0" w:space="0" w:color="auto"/>
            <w:bottom w:val="none" w:sz="0" w:space="0" w:color="auto"/>
            <w:right w:val="none" w:sz="0" w:space="0" w:color="auto"/>
          </w:divBdr>
        </w:div>
      </w:divsChild>
    </w:div>
    <w:div w:id="81949489">
      <w:bodyDiv w:val="1"/>
      <w:marLeft w:val="0"/>
      <w:marRight w:val="0"/>
      <w:marTop w:val="0"/>
      <w:marBottom w:val="0"/>
      <w:divBdr>
        <w:top w:val="none" w:sz="0" w:space="0" w:color="auto"/>
        <w:left w:val="none" w:sz="0" w:space="0" w:color="auto"/>
        <w:bottom w:val="none" w:sz="0" w:space="0" w:color="auto"/>
        <w:right w:val="none" w:sz="0" w:space="0" w:color="auto"/>
      </w:divBdr>
      <w:divsChild>
        <w:div w:id="404569412">
          <w:marLeft w:val="0"/>
          <w:marRight w:val="0"/>
          <w:marTop w:val="0"/>
          <w:marBottom w:val="0"/>
          <w:divBdr>
            <w:top w:val="none" w:sz="0" w:space="0" w:color="auto"/>
            <w:left w:val="none" w:sz="0" w:space="0" w:color="auto"/>
            <w:bottom w:val="none" w:sz="0" w:space="0" w:color="auto"/>
            <w:right w:val="none" w:sz="0" w:space="0" w:color="auto"/>
          </w:divBdr>
        </w:div>
      </w:divsChild>
    </w:div>
    <w:div w:id="119155198">
      <w:bodyDiv w:val="1"/>
      <w:marLeft w:val="0"/>
      <w:marRight w:val="0"/>
      <w:marTop w:val="0"/>
      <w:marBottom w:val="0"/>
      <w:divBdr>
        <w:top w:val="none" w:sz="0" w:space="0" w:color="auto"/>
        <w:left w:val="none" w:sz="0" w:space="0" w:color="auto"/>
        <w:bottom w:val="none" w:sz="0" w:space="0" w:color="auto"/>
        <w:right w:val="none" w:sz="0" w:space="0" w:color="auto"/>
      </w:divBdr>
    </w:div>
    <w:div w:id="126437401">
      <w:bodyDiv w:val="1"/>
      <w:marLeft w:val="0"/>
      <w:marRight w:val="0"/>
      <w:marTop w:val="0"/>
      <w:marBottom w:val="0"/>
      <w:divBdr>
        <w:top w:val="none" w:sz="0" w:space="0" w:color="auto"/>
        <w:left w:val="none" w:sz="0" w:space="0" w:color="auto"/>
        <w:bottom w:val="none" w:sz="0" w:space="0" w:color="auto"/>
        <w:right w:val="none" w:sz="0" w:space="0" w:color="auto"/>
      </w:divBdr>
    </w:div>
    <w:div w:id="130487987">
      <w:bodyDiv w:val="1"/>
      <w:marLeft w:val="0"/>
      <w:marRight w:val="0"/>
      <w:marTop w:val="0"/>
      <w:marBottom w:val="0"/>
      <w:divBdr>
        <w:top w:val="none" w:sz="0" w:space="0" w:color="auto"/>
        <w:left w:val="none" w:sz="0" w:space="0" w:color="auto"/>
        <w:bottom w:val="none" w:sz="0" w:space="0" w:color="auto"/>
        <w:right w:val="none" w:sz="0" w:space="0" w:color="auto"/>
      </w:divBdr>
    </w:div>
    <w:div w:id="161507236">
      <w:bodyDiv w:val="1"/>
      <w:marLeft w:val="0"/>
      <w:marRight w:val="0"/>
      <w:marTop w:val="0"/>
      <w:marBottom w:val="0"/>
      <w:divBdr>
        <w:top w:val="none" w:sz="0" w:space="0" w:color="auto"/>
        <w:left w:val="none" w:sz="0" w:space="0" w:color="auto"/>
        <w:bottom w:val="none" w:sz="0" w:space="0" w:color="auto"/>
        <w:right w:val="none" w:sz="0" w:space="0" w:color="auto"/>
      </w:divBdr>
    </w:div>
    <w:div w:id="174538162">
      <w:bodyDiv w:val="1"/>
      <w:marLeft w:val="0"/>
      <w:marRight w:val="0"/>
      <w:marTop w:val="0"/>
      <w:marBottom w:val="0"/>
      <w:divBdr>
        <w:top w:val="none" w:sz="0" w:space="0" w:color="auto"/>
        <w:left w:val="none" w:sz="0" w:space="0" w:color="auto"/>
        <w:bottom w:val="none" w:sz="0" w:space="0" w:color="auto"/>
        <w:right w:val="none" w:sz="0" w:space="0" w:color="auto"/>
      </w:divBdr>
    </w:div>
    <w:div w:id="210072607">
      <w:bodyDiv w:val="1"/>
      <w:marLeft w:val="0"/>
      <w:marRight w:val="0"/>
      <w:marTop w:val="0"/>
      <w:marBottom w:val="0"/>
      <w:divBdr>
        <w:top w:val="none" w:sz="0" w:space="0" w:color="auto"/>
        <w:left w:val="none" w:sz="0" w:space="0" w:color="auto"/>
        <w:bottom w:val="none" w:sz="0" w:space="0" w:color="auto"/>
        <w:right w:val="none" w:sz="0" w:space="0" w:color="auto"/>
      </w:divBdr>
    </w:div>
    <w:div w:id="240258910">
      <w:bodyDiv w:val="1"/>
      <w:marLeft w:val="0"/>
      <w:marRight w:val="0"/>
      <w:marTop w:val="0"/>
      <w:marBottom w:val="0"/>
      <w:divBdr>
        <w:top w:val="none" w:sz="0" w:space="0" w:color="auto"/>
        <w:left w:val="none" w:sz="0" w:space="0" w:color="auto"/>
        <w:bottom w:val="none" w:sz="0" w:space="0" w:color="auto"/>
        <w:right w:val="none" w:sz="0" w:space="0" w:color="auto"/>
      </w:divBdr>
    </w:div>
    <w:div w:id="251743769">
      <w:bodyDiv w:val="1"/>
      <w:marLeft w:val="0"/>
      <w:marRight w:val="0"/>
      <w:marTop w:val="0"/>
      <w:marBottom w:val="0"/>
      <w:divBdr>
        <w:top w:val="none" w:sz="0" w:space="0" w:color="auto"/>
        <w:left w:val="none" w:sz="0" w:space="0" w:color="auto"/>
        <w:bottom w:val="none" w:sz="0" w:space="0" w:color="auto"/>
        <w:right w:val="none" w:sz="0" w:space="0" w:color="auto"/>
      </w:divBdr>
    </w:div>
    <w:div w:id="257642657">
      <w:bodyDiv w:val="1"/>
      <w:marLeft w:val="0"/>
      <w:marRight w:val="0"/>
      <w:marTop w:val="0"/>
      <w:marBottom w:val="0"/>
      <w:divBdr>
        <w:top w:val="none" w:sz="0" w:space="0" w:color="auto"/>
        <w:left w:val="none" w:sz="0" w:space="0" w:color="auto"/>
        <w:bottom w:val="none" w:sz="0" w:space="0" w:color="auto"/>
        <w:right w:val="none" w:sz="0" w:space="0" w:color="auto"/>
      </w:divBdr>
      <w:divsChild>
        <w:div w:id="1997227210">
          <w:marLeft w:val="0"/>
          <w:marRight w:val="0"/>
          <w:marTop w:val="0"/>
          <w:marBottom w:val="0"/>
          <w:divBdr>
            <w:top w:val="none" w:sz="0" w:space="0" w:color="auto"/>
            <w:left w:val="none" w:sz="0" w:space="0" w:color="auto"/>
            <w:bottom w:val="none" w:sz="0" w:space="0" w:color="auto"/>
            <w:right w:val="none" w:sz="0" w:space="0" w:color="auto"/>
          </w:divBdr>
        </w:div>
      </w:divsChild>
    </w:div>
    <w:div w:id="278298313">
      <w:bodyDiv w:val="1"/>
      <w:marLeft w:val="0"/>
      <w:marRight w:val="0"/>
      <w:marTop w:val="0"/>
      <w:marBottom w:val="0"/>
      <w:divBdr>
        <w:top w:val="none" w:sz="0" w:space="0" w:color="auto"/>
        <w:left w:val="none" w:sz="0" w:space="0" w:color="auto"/>
        <w:bottom w:val="none" w:sz="0" w:space="0" w:color="auto"/>
        <w:right w:val="none" w:sz="0" w:space="0" w:color="auto"/>
      </w:divBdr>
    </w:div>
    <w:div w:id="284239299">
      <w:bodyDiv w:val="1"/>
      <w:marLeft w:val="0"/>
      <w:marRight w:val="0"/>
      <w:marTop w:val="0"/>
      <w:marBottom w:val="0"/>
      <w:divBdr>
        <w:top w:val="none" w:sz="0" w:space="0" w:color="auto"/>
        <w:left w:val="none" w:sz="0" w:space="0" w:color="auto"/>
        <w:bottom w:val="none" w:sz="0" w:space="0" w:color="auto"/>
        <w:right w:val="none" w:sz="0" w:space="0" w:color="auto"/>
      </w:divBdr>
    </w:div>
    <w:div w:id="286161174">
      <w:bodyDiv w:val="1"/>
      <w:marLeft w:val="0"/>
      <w:marRight w:val="0"/>
      <w:marTop w:val="0"/>
      <w:marBottom w:val="0"/>
      <w:divBdr>
        <w:top w:val="none" w:sz="0" w:space="0" w:color="auto"/>
        <w:left w:val="none" w:sz="0" w:space="0" w:color="auto"/>
        <w:bottom w:val="none" w:sz="0" w:space="0" w:color="auto"/>
        <w:right w:val="none" w:sz="0" w:space="0" w:color="auto"/>
      </w:divBdr>
    </w:div>
    <w:div w:id="295061900">
      <w:bodyDiv w:val="1"/>
      <w:marLeft w:val="0"/>
      <w:marRight w:val="0"/>
      <w:marTop w:val="0"/>
      <w:marBottom w:val="0"/>
      <w:divBdr>
        <w:top w:val="none" w:sz="0" w:space="0" w:color="auto"/>
        <w:left w:val="none" w:sz="0" w:space="0" w:color="auto"/>
        <w:bottom w:val="none" w:sz="0" w:space="0" w:color="auto"/>
        <w:right w:val="none" w:sz="0" w:space="0" w:color="auto"/>
      </w:divBdr>
    </w:div>
    <w:div w:id="312494787">
      <w:bodyDiv w:val="1"/>
      <w:marLeft w:val="0"/>
      <w:marRight w:val="0"/>
      <w:marTop w:val="0"/>
      <w:marBottom w:val="0"/>
      <w:divBdr>
        <w:top w:val="none" w:sz="0" w:space="0" w:color="auto"/>
        <w:left w:val="none" w:sz="0" w:space="0" w:color="auto"/>
        <w:bottom w:val="none" w:sz="0" w:space="0" w:color="auto"/>
        <w:right w:val="none" w:sz="0" w:space="0" w:color="auto"/>
      </w:divBdr>
      <w:divsChild>
        <w:div w:id="1787969304">
          <w:marLeft w:val="0"/>
          <w:marRight w:val="0"/>
          <w:marTop w:val="0"/>
          <w:marBottom w:val="0"/>
          <w:divBdr>
            <w:top w:val="none" w:sz="0" w:space="0" w:color="auto"/>
            <w:left w:val="none" w:sz="0" w:space="0" w:color="auto"/>
            <w:bottom w:val="none" w:sz="0" w:space="0" w:color="auto"/>
            <w:right w:val="none" w:sz="0" w:space="0" w:color="auto"/>
          </w:divBdr>
        </w:div>
      </w:divsChild>
    </w:div>
    <w:div w:id="317880974">
      <w:bodyDiv w:val="1"/>
      <w:marLeft w:val="0"/>
      <w:marRight w:val="0"/>
      <w:marTop w:val="0"/>
      <w:marBottom w:val="0"/>
      <w:divBdr>
        <w:top w:val="none" w:sz="0" w:space="0" w:color="auto"/>
        <w:left w:val="none" w:sz="0" w:space="0" w:color="auto"/>
        <w:bottom w:val="none" w:sz="0" w:space="0" w:color="auto"/>
        <w:right w:val="none" w:sz="0" w:space="0" w:color="auto"/>
      </w:divBdr>
    </w:div>
    <w:div w:id="337465905">
      <w:bodyDiv w:val="1"/>
      <w:marLeft w:val="0"/>
      <w:marRight w:val="0"/>
      <w:marTop w:val="0"/>
      <w:marBottom w:val="0"/>
      <w:divBdr>
        <w:top w:val="none" w:sz="0" w:space="0" w:color="auto"/>
        <w:left w:val="none" w:sz="0" w:space="0" w:color="auto"/>
        <w:bottom w:val="none" w:sz="0" w:space="0" w:color="auto"/>
        <w:right w:val="none" w:sz="0" w:space="0" w:color="auto"/>
      </w:divBdr>
    </w:div>
    <w:div w:id="343940708">
      <w:bodyDiv w:val="1"/>
      <w:marLeft w:val="0"/>
      <w:marRight w:val="0"/>
      <w:marTop w:val="0"/>
      <w:marBottom w:val="0"/>
      <w:divBdr>
        <w:top w:val="none" w:sz="0" w:space="0" w:color="auto"/>
        <w:left w:val="none" w:sz="0" w:space="0" w:color="auto"/>
        <w:bottom w:val="none" w:sz="0" w:space="0" w:color="auto"/>
        <w:right w:val="none" w:sz="0" w:space="0" w:color="auto"/>
      </w:divBdr>
    </w:div>
    <w:div w:id="349262226">
      <w:bodyDiv w:val="1"/>
      <w:marLeft w:val="0"/>
      <w:marRight w:val="0"/>
      <w:marTop w:val="0"/>
      <w:marBottom w:val="0"/>
      <w:divBdr>
        <w:top w:val="none" w:sz="0" w:space="0" w:color="auto"/>
        <w:left w:val="none" w:sz="0" w:space="0" w:color="auto"/>
        <w:bottom w:val="none" w:sz="0" w:space="0" w:color="auto"/>
        <w:right w:val="none" w:sz="0" w:space="0" w:color="auto"/>
      </w:divBdr>
    </w:div>
    <w:div w:id="351490179">
      <w:bodyDiv w:val="1"/>
      <w:marLeft w:val="0"/>
      <w:marRight w:val="0"/>
      <w:marTop w:val="0"/>
      <w:marBottom w:val="0"/>
      <w:divBdr>
        <w:top w:val="none" w:sz="0" w:space="0" w:color="auto"/>
        <w:left w:val="none" w:sz="0" w:space="0" w:color="auto"/>
        <w:bottom w:val="none" w:sz="0" w:space="0" w:color="auto"/>
        <w:right w:val="none" w:sz="0" w:space="0" w:color="auto"/>
      </w:divBdr>
    </w:div>
    <w:div w:id="359749098">
      <w:bodyDiv w:val="1"/>
      <w:marLeft w:val="0"/>
      <w:marRight w:val="0"/>
      <w:marTop w:val="0"/>
      <w:marBottom w:val="0"/>
      <w:divBdr>
        <w:top w:val="none" w:sz="0" w:space="0" w:color="auto"/>
        <w:left w:val="none" w:sz="0" w:space="0" w:color="auto"/>
        <w:bottom w:val="none" w:sz="0" w:space="0" w:color="auto"/>
        <w:right w:val="none" w:sz="0" w:space="0" w:color="auto"/>
      </w:divBdr>
    </w:div>
    <w:div w:id="370768406">
      <w:bodyDiv w:val="1"/>
      <w:marLeft w:val="0"/>
      <w:marRight w:val="0"/>
      <w:marTop w:val="0"/>
      <w:marBottom w:val="0"/>
      <w:divBdr>
        <w:top w:val="none" w:sz="0" w:space="0" w:color="auto"/>
        <w:left w:val="none" w:sz="0" w:space="0" w:color="auto"/>
        <w:bottom w:val="none" w:sz="0" w:space="0" w:color="auto"/>
        <w:right w:val="none" w:sz="0" w:space="0" w:color="auto"/>
      </w:divBdr>
    </w:div>
    <w:div w:id="373119204">
      <w:bodyDiv w:val="1"/>
      <w:marLeft w:val="0"/>
      <w:marRight w:val="0"/>
      <w:marTop w:val="0"/>
      <w:marBottom w:val="0"/>
      <w:divBdr>
        <w:top w:val="none" w:sz="0" w:space="0" w:color="auto"/>
        <w:left w:val="none" w:sz="0" w:space="0" w:color="auto"/>
        <w:bottom w:val="none" w:sz="0" w:space="0" w:color="auto"/>
        <w:right w:val="none" w:sz="0" w:space="0" w:color="auto"/>
      </w:divBdr>
    </w:div>
    <w:div w:id="382683137">
      <w:bodyDiv w:val="1"/>
      <w:marLeft w:val="0"/>
      <w:marRight w:val="0"/>
      <w:marTop w:val="0"/>
      <w:marBottom w:val="0"/>
      <w:divBdr>
        <w:top w:val="none" w:sz="0" w:space="0" w:color="auto"/>
        <w:left w:val="none" w:sz="0" w:space="0" w:color="auto"/>
        <w:bottom w:val="none" w:sz="0" w:space="0" w:color="auto"/>
        <w:right w:val="none" w:sz="0" w:space="0" w:color="auto"/>
      </w:divBdr>
    </w:div>
    <w:div w:id="384139184">
      <w:bodyDiv w:val="1"/>
      <w:marLeft w:val="0"/>
      <w:marRight w:val="0"/>
      <w:marTop w:val="0"/>
      <w:marBottom w:val="0"/>
      <w:divBdr>
        <w:top w:val="none" w:sz="0" w:space="0" w:color="auto"/>
        <w:left w:val="none" w:sz="0" w:space="0" w:color="auto"/>
        <w:bottom w:val="none" w:sz="0" w:space="0" w:color="auto"/>
        <w:right w:val="none" w:sz="0" w:space="0" w:color="auto"/>
      </w:divBdr>
    </w:div>
    <w:div w:id="402533782">
      <w:bodyDiv w:val="1"/>
      <w:marLeft w:val="0"/>
      <w:marRight w:val="0"/>
      <w:marTop w:val="0"/>
      <w:marBottom w:val="0"/>
      <w:divBdr>
        <w:top w:val="none" w:sz="0" w:space="0" w:color="auto"/>
        <w:left w:val="none" w:sz="0" w:space="0" w:color="auto"/>
        <w:bottom w:val="none" w:sz="0" w:space="0" w:color="auto"/>
        <w:right w:val="none" w:sz="0" w:space="0" w:color="auto"/>
      </w:divBdr>
    </w:div>
    <w:div w:id="402994804">
      <w:bodyDiv w:val="1"/>
      <w:marLeft w:val="0"/>
      <w:marRight w:val="0"/>
      <w:marTop w:val="0"/>
      <w:marBottom w:val="0"/>
      <w:divBdr>
        <w:top w:val="none" w:sz="0" w:space="0" w:color="auto"/>
        <w:left w:val="none" w:sz="0" w:space="0" w:color="auto"/>
        <w:bottom w:val="none" w:sz="0" w:space="0" w:color="auto"/>
        <w:right w:val="none" w:sz="0" w:space="0" w:color="auto"/>
      </w:divBdr>
    </w:div>
    <w:div w:id="416830622">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8888689">
      <w:bodyDiv w:val="1"/>
      <w:marLeft w:val="0"/>
      <w:marRight w:val="0"/>
      <w:marTop w:val="0"/>
      <w:marBottom w:val="0"/>
      <w:divBdr>
        <w:top w:val="none" w:sz="0" w:space="0" w:color="auto"/>
        <w:left w:val="none" w:sz="0" w:space="0" w:color="auto"/>
        <w:bottom w:val="none" w:sz="0" w:space="0" w:color="auto"/>
        <w:right w:val="none" w:sz="0" w:space="0" w:color="auto"/>
      </w:divBdr>
      <w:divsChild>
        <w:div w:id="1655987911">
          <w:marLeft w:val="0"/>
          <w:marRight w:val="0"/>
          <w:marTop w:val="0"/>
          <w:marBottom w:val="0"/>
          <w:divBdr>
            <w:top w:val="none" w:sz="0" w:space="0" w:color="auto"/>
            <w:left w:val="none" w:sz="0" w:space="0" w:color="auto"/>
            <w:bottom w:val="none" w:sz="0" w:space="0" w:color="auto"/>
            <w:right w:val="none" w:sz="0" w:space="0" w:color="auto"/>
          </w:divBdr>
        </w:div>
      </w:divsChild>
    </w:div>
    <w:div w:id="464861233">
      <w:bodyDiv w:val="1"/>
      <w:marLeft w:val="0"/>
      <w:marRight w:val="0"/>
      <w:marTop w:val="0"/>
      <w:marBottom w:val="0"/>
      <w:divBdr>
        <w:top w:val="none" w:sz="0" w:space="0" w:color="auto"/>
        <w:left w:val="none" w:sz="0" w:space="0" w:color="auto"/>
        <w:bottom w:val="none" w:sz="0" w:space="0" w:color="auto"/>
        <w:right w:val="none" w:sz="0" w:space="0" w:color="auto"/>
      </w:divBdr>
      <w:divsChild>
        <w:div w:id="1932542201">
          <w:marLeft w:val="0"/>
          <w:marRight w:val="0"/>
          <w:marTop w:val="0"/>
          <w:marBottom w:val="0"/>
          <w:divBdr>
            <w:top w:val="none" w:sz="0" w:space="0" w:color="auto"/>
            <w:left w:val="none" w:sz="0" w:space="0" w:color="auto"/>
            <w:bottom w:val="none" w:sz="0" w:space="0" w:color="auto"/>
            <w:right w:val="none" w:sz="0" w:space="0" w:color="auto"/>
          </w:divBdr>
        </w:div>
      </w:divsChild>
    </w:div>
    <w:div w:id="481898048">
      <w:bodyDiv w:val="1"/>
      <w:marLeft w:val="0"/>
      <w:marRight w:val="0"/>
      <w:marTop w:val="0"/>
      <w:marBottom w:val="0"/>
      <w:divBdr>
        <w:top w:val="none" w:sz="0" w:space="0" w:color="auto"/>
        <w:left w:val="none" w:sz="0" w:space="0" w:color="auto"/>
        <w:bottom w:val="none" w:sz="0" w:space="0" w:color="auto"/>
        <w:right w:val="none" w:sz="0" w:space="0" w:color="auto"/>
      </w:divBdr>
    </w:div>
    <w:div w:id="482425980">
      <w:bodyDiv w:val="1"/>
      <w:marLeft w:val="0"/>
      <w:marRight w:val="0"/>
      <w:marTop w:val="0"/>
      <w:marBottom w:val="0"/>
      <w:divBdr>
        <w:top w:val="none" w:sz="0" w:space="0" w:color="auto"/>
        <w:left w:val="none" w:sz="0" w:space="0" w:color="auto"/>
        <w:bottom w:val="none" w:sz="0" w:space="0" w:color="auto"/>
        <w:right w:val="none" w:sz="0" w:space="0" w:color="auto"/>
      </w:divBdr>
    </w:div>
    <w:div w:id="510531521">
      <w:bodyDiv w:val="1"/>
      <w:marLeft w:val="0"/>
      <w:marRight w:val="0"/>
      <w:marTop w:val="0"/>
      <w:marBottom w:val="0"/>
      <w:divBdr>
        <w:top w:val="none" w:sz="0" w:space="0" w:color="auto"/>
        <w:left w:val="none" w:sz="0" w:space="0" w:color="auto"/>
        <w:bottom w:val="none" w:sz="0" w:space="0" w:color="auto"/>
        <w:right w:val="none" w:sz="0" w:space="0" w:color="auto"/>
      </w:divBdr>
    </w:div>
    <w:div w:id="522208812">
      <w:bodyDiv w:val="1"/>
      <w:marLeft w:val="0"/>
      <w:marRight w:val="0"/>
      <w:marTop w:val="0"/>
      <w:marBottom w:val="0"/>
      <w:divBdr>
        <w:top w:val="none" w:sz="0" w:space="0" w:color="auto"/>
        <w:left w:val="none" w:sz="0" w:space="0" w:color="auto"/>
        <w:bottom w:val="none" w:sz="0" w:space="0" w:color="auto"/>
        <w:right w:val="none" w:sz="0" w:space="0" w:color="auto"/>
      </w:divBdr>
      <w:divsChild>
        <w:div w:id="2131893160">
          <w:marLeft w:val="144"/>
          <w:marRight w:val="0"/>
          <w:marTop w:val="240"/>
          <w:marBottom w:val="40"/>
          <w:divBdr>
            <w:top w:val="none" w:sz="0" w:space="0" w:color="auto"/>
            <w:left w:val="none" w:sz="0" w:space="0" w:color="auto"/>
            <w:bottom w:val="none" w:sz="0" w:space="0" w:color="auto"/>
            <w:right w:val="none" w:sz="0" w:space="0" w:color="auto"/>
          </w:divBdr>
        </w:div>
        <w:div w:id="1068452825">
          <w:marLeft w:val="144"/>
          <w:marRight w:val="0"/>
          <w:marTop w:val="240"/>
          <w:marBottom w:val="40"/>
          <w:divBdr>
            <w:top w:val="none" w:sz="0" w:space="0" w:color="auto"/>
            <w:left w:val="none" w:sz="0" w:space="0" w:color="auto"/>
            <w:bottom w:val="none" w:sz="0" w:space="0" w:color="auto"/>
            <w:right w:val="none" w:sz="0" w:space="0" w:color="auto"/>
          </w:divBdr>
        </w:div>
        <w:div w:id="1463040096">
          <w:marLeft w:val="144"/>
          <w:marRight w:val="0"/>
          <w:marTop w:val="240"/>
          <w:marBottom w:val="40"/>
          <w:divBdr>
            <w:top w:val="none" w:sz="0" w:space="0" w:color="auto"/>
            <w:left w:val="none" w:sz="0" w:space="0" w:color="auto"/>
            <w:bottom w:val="none" w:sz="0" w:space="0" w:color="auto"/>
            <w:right w:val="none" w:sz="0" w:space="0" w:color="auto"/>
          </w:divBdr>
        </w:div>
        <w:div w:id="1860119611">
          <w:marLeft w:val="144"/>
          <w:marRight w:val="0"/>
          <w:marTop w:val="240"/>
          <w:marBottom w:val="40"/>
          <w:divBdr>
            <w:top w:val="none" w:sz="0" w:space="0" w:color="auto"/>
            <w:left w:val="none" w:sz="0" w:space="0" w:color="auto"/>
            <w:bottom w:val="none" w:sz="0" w:space="0" w:color="auto"/>
            <w:right w:val="none" w:sz="0" w:space="0" w:color="auto"/>
          </w:divBdr>
        </w:div>
        <w:div w:id="1668555230">
          <w:marLeft w:val="144"/>
          <w:marRight w:val="0"/>
          <w:marTop w:val="240"/>
          <w:marBottom w:val="40"/>
          <w:divBdr>
            <w:top w:val="none" w:sz="0" w:space="0" w:color="auto"/>
            <w:left w:val="none" w:sz="0" w:space="0" w:color="auto"/>
            <w:bottom w:val="none" w:sz="0" w:space="0" w:color="auto"/>
            <w:right w:val="none" w:sz="0" w:space="0" w:color="auto"/>
          </w:divBdr>
        </w:div>
        <w:div w:id="156118894">
          <w:marLeft w:val="144"/>
          <w:marRight w:val="0"/>
          <w:marTop w:val="240"/>
          <w:marBottom w:val="40"/>
          <w:divBdr>
            <w:top w:val="none" w:sz="0" w:space="0" w:color="auto"/>
            <w:left w:val="none" w:sz="0" w:space="0" w:color="auto"/>
            <w:bottom w:val="none" w:sz="0" w:space="0" w:color="auto"/>
            <w:right w:val="none" w:sz="0" w:space="0" w:color="auto"/>
          </w:divBdr>
        </w:div>
      </w:divsChild>
    </w:div>
    <w:div w:id="526525314">
      <w:bodyDiv w:val="1"/>
      <w:marLeft w:val="0"/>
      <w:marRight w:val="0"/>
      <w:marTop w:val="0"/>
      <w:marBottom w:val="0"/>
      <w:divBdr>
        <w:top w:val="none" w:sz="0" w:space="0" w:color="auto"/>
        <w:left w:val="none" w:sz="0" w:space="0" w:color="auto"/>
        <w:bottom w:val="none" w:sz="0" w:space="0" w:color="auto"/>
        <w:right w:val="none" w:sz="0" w:space="0" w:color="auto"/>
      </w:divBdr>
    </w:div>
    <w:div w:id="528302474">
      <w:bodyDiv w:val="1"/>
      <w:marLeft w:val="0"/>
      <w:marRight w:val="0"/>
      <w:marTop w:val="0"/>
      <w:marBottom w:val="0"/>
      <w:divBdr>
        <w:top w:val="none" w:sz="0" w:space="0" w:color="auto"/>
        <w:left w:val="none" w:sz="0" w:space="0" w:color="auto"/>
        <w:bottom w:val="none" w:sz="0" w:space="0" w:color="auto"/>
        <w:right w:val="none" w:sz="0" w:space="0" w:color="auto"/>
      </w:divBdr>
    </w:div>
    <w:div w:id="548154539">
      <w:bodyDiv w:val="1"/>
      <w:marLeft w:val="0"/>
      <w:marRight w:val="0"/>
      <w:marTop w:val="0"/>
      <w:marBottom w:val="0"/>
      <w:divBdr>
        <w:top w:val="none" w:sz="0" w:space="0" w:color="auto"/>
        <w:left w:val="none" w:sz="0" w:space="0" w:color="auto"/>
        <w:bottom w:val="none" w:sz="0" w:space="0" w:color="auto"/>
        <w:right w:val="none" w:sz="0" w:space="0" w:color="auto"/>
      </w:divBdr>
    </w:div>
    <w:div w:id="551041741">
      <w:bodyDiv w:val="1"/>
      <w:marLeft w:val="0"/>
      <w:marRight w:val="0"/>
      <w:marTop w:val="0"/>
      <w:marBottom w:val="0"/>
      <w:divBdr>
        <w:top w:val="none" w:sz="0" w:space="0" w:color="auto"/>
        <w:left w:val="none" w:sz="0" w:space="0" w:color="auto"/>
        <w:bottom w:val="none" w:sz="0" w:space="0" w:color="auto"/>
        <w:right w:val="none" w:sz="0" w:space="0" w:color="auto"/>
      </w:divBdr>
    </w:div>
    <w:div w:id="554436971">
      <w:bodyDiv w:val="1"/>
      <w:marLeft w:val="0"/>
      <w:marRight w:val="0"/>
      <w:marTop w:val="0"/>
      <w:marBottom w:val="0"/>
      <w:divBdr>
        <w:top w:val="none" w:sz="0" w:space="0" w:color="auto"/>
        <w:left w:val="none" w:sz="0" w:space="0" w:color="auto"/>
        <w:bottom w:val="none" w:sz="0" w:space="0" w:color="auto"/>
        <w:right w:val="none" w:sz="0" w:space="0" w:color="auto"/>
      </w:divBdr>
    </w:div>
    <w:div w:id="574432266">
      <w:bodyDiv w:val="1"/>
      <w:marLeft w:val="0"/>
      <w:marRight w:val="0"/>
      <w:marTop w:val="0"/>
      <w:marBottom w:val="0"/>
      <w:divBdr>
        <w:top w:val="none" w:sz="0" w:space="0" w:color="auto"/>
        <w:left w:val="none" w:sz="0" w:space="0" w:color="auto"/>
        <w:bottom w:val="none" w:sz="0" w:space="0" w:color="auto"/>
        <w:right w:val="none" w:sz="0" w:space="0" w:color="auto"/>
      </w:divBdr>
    </w:div>
    <w:div w:id="590360328">
      <w:bodyDiv w:val="1"/>
      <w:marLeft w:val="0"/>
      <w:marRight w:val="0"/>
      <w:marTop w:val="0"/>
      <w:marBottom w:val="0"/>
      <w:divBdr>
        <w:top w:val="none" w:sz="0" w:space="0" w:color="auto"/>
        <w:left w:val="none" w:sz="0" w:space="0" w:color="auto"/>
        <w:bottom w:val="none" w:sz="0" w:space="0" w:color="auto"/>
        <w:right w:val="none" w:sz="0" w:space="0" w:color="auto"/>
      </w:divBdr>
    </w:div>
    <w:div w:id="599684545">
      <w:bodyDiv w:val="1"/>
      <w:marLeft w:val="0"/>
      <w:marRight w:val="0"/>
      <w:marTop w:val="0"/>
      <w:marBottom w:val="0"/>
      <w:divBdr>
        <w:top w:val="none" w:sz="0" w:space="0" w:color="auto"/>
        <w:left w:val="none" w:sz="0" w:space="0" w:color="auto"/>
        <w:bottom w:val="none" w:sz="0" w:space="0" w:color="auto"/>
        <w:right w:val="none" w:sz="0" w:space="0" w:color="auto"/>
      </w:divBdr>
    </w:div>
    <w:div w:id="607155773">
      <w:bodyDiv w:val="1"/>
      <w:marLeft w:val="0"/>
      <w:marRight w:val="0"/>
      <w:marTop w:val="0"/>
      <w:marBottom w:val="0"/>
      <w:divBdr>
        <w:top w:val="none" w:sz="0" w:space="0" w:color="auto"/>
        <w:left w:val="none" w:sz="0" w:space="0" w:color="auto"/>
        <w:bottom w:val="none" w:sz="0" w:space="0" w:color="auto"/>
        <w:right w:val="none" w:sz="0" w:space="0" w:color="auto"/>
      </w:divBdr>
    </w:div>
    <w:div w:id="628556815">
      <w:bodyDiv w:val="1"/>
      <w:marLeft w:val="0"/>
      <w:marRight w:val="0"/>
      <w:marTop w:val="0"/>
      <w:marBottom w:val="0"/>
      <w:divBdr>
        <w:top w:val="none" w:sz="0" w:space="0" w:color="auto"/>
        <w:left w:val="none" w:sz="0" w:space="0" w:color="auto"/>
        <w:bottom w:val="none" w:sz="0" w:space="0" w:color="auto"/>
        <w:right w:val="none" w:sz="0" w:space="0" w:color="auto"/>
      </w:divBdr>
    </w:div>
    <w:div w:id="631133318">
      <w:bodyDiv w:val="1"/>
      <w:marLeft w:val="0"/>
      <w:marRight w:val="0"/>
      <w:marTop w:val="0"/>
      <w:marBottom w:val="0"/>
      <w:divBdr>
        <w:top w:val="none" w:sz="0" w:space="0" w:color="auto"/>
        <w:left w:val="none" w:sz="0" w:space="0" w:color="auto"/>
        <w:bottom w:val="none" w:sz="0" w:space="0" w:color="auto"/>
        <w:right w:val="none" w:sz="0" w:space="0" w:color="auto"/>
      </w:divBdr>
    </w:div>
    <w:div w:id="633756970">
      <w:bodyDiv w:val="1"/>
      <w:marLeft w:val="0"/>
      <w:marRight w:val="0"/>
      <w:marTop w:val="0"/>
      <w:marBottom w:val="0"/>
      <w:divBdr>
        <w:top w:val="none" w:sz="0" w:space="0" w:color="auto"/>
        <w:left w:val="none" w:sz="0" w:space="0" w:color="auto"/>
        <w:bottom w:val="none" w:sz="0" w:space="0" w:color="auto"/>
        <w:right w:val="none" w:sz="0" w:space="0" w:color="auto"/>
      </w:divBdr>
    </w:div>
    <w:div w:id="660234403">
      <w:bodyDiv w:val="1"/>
      <w:marLeft w:val="0"/>
      <w:marRight w:val="0"/>
      <w:marTop w:val="0"/>
      <w:marBottom w:val="0"/>
      <w:divBdr>
        <w:top w:val="none" w:sz="0" w:space="0" w:color="auto"/>
        <w:left w:val="none" w:sz="0" w:space="0" w:color="auto"/>
        <w:bottom w:val="none" w:sz="0" w:space="0" w:color="auto"/>
        <w:right w:val="none" w:sz="0" w:space="0" w:color="auto"/>
      </w:divBdr>
    </w:div>
    <w:div w:id="667706540">
      <w:bodyDiv w:val="1"/>
      <w:marLeft w:val="0"/>
      <w:marRight w:val="0"/>
      <w:marTop w:val="0"/>
      <w:marBottom w:val="0"/>
      <w:divBdr>
        <w:top w:val="none" w:sz="0" w:space="0" w:color="auto"/>
        <w:left w:val="none" w:sz="0" w:space="0" w:color="auto"/>
        <w:bottom w:val="none" w:sz="0" w:space="0" w:color="auto"/>
        <w:right w:val="none" w:sz="0" w:space="0" w:color="auto"/>
      </w:divBdr>
    </w:div>
    <w:div w:id="670644385">
      <w:bodyDiv w:val="1"/>
      <w:marLeft w:val="0"/>
      <w:marRight w:val="0"/>
      <w:marTop w:val="0"/>
      <w:marBottom w:val="0"/>
      <w:divBdr>
        <w:top w:val="none" w:sz="0" w:space="0" w:color="auto"/>
        <w:left w:val="none" w:sz="0" w:space="0" w:color="auto"/>
        <w:bottom w:val="none" w:sz="0" w:space="0" w:color="auto"/>
        <w:right w:val="none" w:sz="0" w:space="0" w:color="auto"/>
      </w:divBdr>
    </w:div>
    <w:div w:id="673341673">
      <w:bodyDiv w:val="1"/>
      <w:marLeft w:val="0"/>
      <w:marRight w:val="0"/>
      <w:marTop w:val="0"/>
      <w:marBottom w:val="0"/>
      <w:divBdr>
        <w:top w:val="none" w:sz="0" w:space="0" w:color="auto"/>
        <w:left w:val="none" w:sz="0" w:space="0" w:color="auto"/>
        <w:bottom w:val="none" w:sz="0" w:space="0" w:color="auto"/>
        <w:right w:val="none" w:sz="0" w:space="0" w:color="auto"/>
      </w:divBdr>
    </w:div>
    <w:div w:id="684938514">
      <w:bodyDiv w:val="1"/>
      <w:marLeft w:val="0"/>
      <w:marRight w:val="0"/>
      <w:marTop w:val="0"/>
      <w:marBottom w:val="0"/>
      <w:divBdr>
        <w:top w:val="none" w:sz="0" w:space="0" w:color="auto"/>
        <w:left w:val="none" w:sz="0" w:space="0" w:color="auto"/>
        <w:bottom w:val="none" w:sz="0" w:space="0" w:color="auto"/>
        <w:right w:val="none" w:sz="0" w:space="0" w:color="auto"/>
      </w:divBdr>
    </w:div>
    <w:div w:id="693699174">
      <w:bodyDiv w:val="1"/>
      <w:marLeft w:val="0"/>
      <w:marRight w:val="0"/>
      <w:marTop w:val="0"/>
      <w:marBottom w:val="0"/>
      <w:divBdr>
        <w:top w:val="none" w:sz="0" w:space="0" w:color="auto"/>
        <w:left w:val="none" w:sz="0" w:space="0" w:color="auto"/>
        <w:bottom w:val="none" w:sz="0" w:space="0" w:color="auto"/>
        <w:right w:val="none" w:sz="0" w:space="0" w:color="auto"/>
      </w:divBdr>
      <w:divsChild>
        <w:div w:id="177743779">
          <w:marLeft w:val="0"/>
          <w:marRight w:val="0"/>
          <w:marTop w:val="0"/>
          <w:marBottom w:val="0"/>
          <w:divBdr>
            <w:top w:val="none" w:sz="0" w:space="0" w:color="auto"/>
            <w:left w:val="none" w:sz="0" w:space="0" w:color="auto"/>
            <w:bottom w:val="none" w:sz="0" w:space="0" w:color="auto"/>
            <w:right w:val="none" w:sz="0" w:space="0" w:color="auto"/>
          </w:divBdr>
        </w:div>
      </w:divsChild>
    </w:div>
    <w:div w:id="705955322">
      <w:bodyDiv w:val="1"/>
      <w:marLeft w:val="0"/>
      <w:marRight w:val="0"/>
      <w:marTop w:val="0"/>
      <w:marBottom w:val="0"/>
      <w:divBdr>
        <w:top w:val="none" w:sz="0" w:space="0" w:color="auto"/>
        <w:left w:val="none" w:sz="0" w:space="0" w:color="auto"/>
        <w:bottom w:val="none" w:sz="0" w:space="0" w:color="auto"/>
        <w:right w:val="none" w:sz="0" w:space="0" w:color="auto"/>
      </w:divBdr>
      <w:divsChild>
        <w:div w:id="271058121">
          <w:marLeft w:val="0"/>
          <w:marRight w:val="0"/>
          <w:marTop w:val="0"/>
          <w:marBottom w:val="0"/>
          <w:divBdr>
            <w:top w:val="none" w:sz="0" w:space="0" w:color="auto"/>
            <w:left w:val="none" w:sz="0" w:space="0" w:color="auto"/>
            <w:bottom w:val="none" w:sz="0" w:space="0" w:color="auto"/>
            <w:right w:val="none" w:sz="0" w:space="0" w:color="auto"/>
          </w:divBdr>
        </w:div>
      </w:divsChild>
    </w:div>
    <w:div w:id="721095515">
      <w:bodyDiv w:val="1"/>
      <w:marLeft w:val="0"/>
      <w:marRight w:val="0"/>
      <w:marTop w:val="0"/>
      <w:marBottom w:val="0"/>
      <w:divBdr>
        <w:top w:val="none" w:sz="0" w:space="0" w:color="auto"/>
        <w:left w:val="none" w:sz="0" w:space="0" w:color="auto"/>
        <w:bottom w:val="none" w:sz="0" w:space="0" w:color="auto"/>
        <w:right w:val="none" w:sz="0" w:space="0" w:color="auto"/>
      </w:divBdr>
      <w:divsChild>
        <w:div w:id="1665160249">
          <w:marLeft w:val="0"/>
          <w:marRight w:val="0"/>
          <w:marTop w:val="0"/>
          <w:marBottom w:val="0"/>
          <w:divBdr>
            <w:top w:val="none" w:sz="0" w:space="0" w:color="auto"/>
            <w:left w:val="none" w:sz="0" w:space="0" w:color="auto"/>
            <w:bottom w:val="none" w:sz="0" w:space="0" w:color="auto"/>
            <w:right w:val="none" w:sz="0" w:space="0" w:color="auto"/>
          </w:divBdr>
        </w:div>
      </w:divsChild>
    </w:div>
    <w:div w:id="725837678">
      <w:bodyDiv w:val="1"/>
      <w:marLeft w:val="0"/>
      <w:marRight w:val="0"/>
      <w:marTop w:val="0"/>
      <w:marBottom w:val="0"/>
      <w:divBdr>
        <w:top w:val="none" w:sz="0" w:space="0" w:color="auto"/>
        <w:left w:val="none" w:sz="0" w:space="0" w:color="auto"/>
        <w:bottom w:val="none" w:sz="0" w:space="0" w:color="auto"/>
        <w:right w:val="none" w:sz="0" w:space="0" w:color="auto"/>
      </w:divBdr>
    </w:div>
    <w:div w:id="742920315">
      <w:bodyDiv w:val="1"/>
      <w:marLeft w:val="0"/>
      <w:marRight w:val="0"/>
      <w:marTop w:val="0"/>
      <w:marBottom w:val="0"/>
      <w:divBdr>
        <w:top w:val="none" w:sz="0" w:space="0" w:color="auto"/>
        <w:left w:val="none" w:sz="0" w:space="0" w:color="auto"/>
        <w:bottom w:val="none" w:sz="0" w:space="0" w:color="auto"/>
        <w:right w:val="none" w:sz="0" w:space="0" w:color="auto"/>
      </w:divBdr>
      <w:divsChild>
        <w:div w:id="2018771696">
          <w:marLeft w:val="0"/>
          <w:marRight w:val="0"/>
          <w:marTop w:val="0"/>
          <w:marBottom w:val="0"/>
          <w:divBdr>
            <w:top w:val="none" w:sz="0" w:space="0" w:color="auto"/>
            <w:left w:val="none" w:sz="0" w:space="0" w:color="auto"/>
            <w:bottom w:val="none" w:sz="0" w:space="0" w:color="auto"/>
            <w:right w:val="none" w:sz="0" w:space="0" w:color="auto"/>
          </w:divBdr>
        </w:div>
      </w:divsChild>
    </w:div>
    <w:div w:id="746146481">
      <w:bodyDiv w:val="1"/>
      <w:marLeft w:val="0"/>
      <w:marRight w:val="0"/>
      <w:marTop w:val="0"/>
      <w:marBottom w:val="0"/>
      <w:divBdr>
        <w:top w:val="none" w:sz="0" w:space="0" w:color="auto"/>
        <w:left w:val="none" w:sz="0" w:space="0" w:color="auto"/>
        <w:bottom w:val="none" w:sz="0" w:space="0" w:color="auto"/>
        <w:right w:val="none" w:sz="0" w:space="0" w:color="auto"/>
      </w:divBdr>
    </w:div>
    <w:div w:id="758715759">
      <w:bodyDiv w:val="1"/>
      <w:marLeft w:val="0"/>
      <w:marRight w:val="0"/>
      <w:marTop w:val="0"/>
      <w:marBottom w:val="0"/>
      <w:divBdr>
        <w:top w:val="none" w:sz="0" w:space="0" w:color="auto"/>
        <w:left w:val="none" w:sz="0" w:space="0" w:color="auto"/>
        <w:bottom w:val="none" w:sz="0" w:space="0" w:color="auto"/>
        <w:right w:val="none" w:sz="0" w:space="0" w:color="auto"/>
      </w:divBdr>
    </w:div>
    <w:div w:id="770197671">
      <w:bodyDiv w:val="1"/>
      <w:marLeft w:val="0"/>
      <w:marRight w:val="0"/>
      <w:marTop w:val="0"/>
      <w:marBottom w:val="0"/>
      <w:divBdr>
        <w:top w:val="none" w:sz="0" w:space="0" w:color="auto"/>
        <w:left w:val="none" w:sz="0" w:space="0" w:color="auto"/>
        <w:bottom w:val="none" w:sz="0" w:space="0" w:color="auto"/>
        <w:right w:val="none" w:sz="0" w:space="0" w:color="auto"/>
      </w:divBdr>
    </w:div>
    <w:div w:id="772943783">
      <w:bodyDiv w:val="1"/>
      <w:marLeft w:val="0"/>
      <w:marRight w:val="0"/>
      <w:marTop w:val="0"/>
      <w:marBottom w:val="0"/>
      <w:divBdr>
        <w:top w:val="none" w:sz="0" w:space="0" w:color="auto"/>
        <w:left w:val="none" w:sz="0" w:space="0" w:color="auto"/>
        <w:bottom w:val="none" w:sz="0" w:space="0" w:color="auto"/>
        <w:right w:val="none" w:sz="0" w:space="0" w:color="auto"/>
      </w:divBdr>
    </w:div>
    <w:div w:id="811947149">
      <w:bodyDiv w:val="1"/>
      <w:marLeft w:val="0"/>
      <w:marRight w:val="0"/>
      <w:marTop w:val="0"/>
      <w:marBottom w:val="0"/>
      <w:divBdr>
        <w:top w:val="none" w:sz="0" w:space="0" w:color="auto"/>
        <w:left w:val="none" w:sz="0" w:space="0" w:color="auto"/>
        <w:bottom w:val="none" w:sz="0" w:space="0" w:color="auto"/>
        <w:right w:val="none" w:sz="0" w:space="0" w:color="auto"/>
      </w:divBdr>
      <w:divsChild>
        <w:div w:id="1884907598">
          <w:marLeft w:val="0"/>
          <w:marRight w:val="0"/>
          <w:marTop w:val="0"/>
          <w:marBottom w:val="0"/>
          <w:divBdr>
            <w:top w:val="none" w:sz="0" w:space="0" w:color="auto"/>
            <w:left w:val="none" w:sz="0" w:space="0" w:color="auto"/>
            <w:bottom w:val="none" w:sz="0" w:space="0" w:color="auto"/>
            <w:right w:val="none" w:sz="0" w:space="0" w:color="auto"/>
          </w:divBdr>
        </w:div>
      </w:divsChild>
    </w:div>
    <w:div w:id="812482510">
      <w:bodyDiv w:val="1"/>
      <w:marLeft w:val="0"/>
      <w:marRight w:val="0"/>
      <w:marTop w:val="0"/>
      <w:marBottom w:val="0"/>
      <w:divBdr>
        <w:top w:val="none" w:sz="0" w:space="0" w:color="auto"/>
        <w:left w:val="none" w:sz="0" w:space="0" w:color="auto"/>
        <w:bottom w:val="none" w:sz="0" w:space="0" w:color="auto"/>
        <w:right w:val="none" w:sz="0" w:space="0" w:color="auto"/>
      </w:divBdr>
    </w:div>
    <w:div w:id="831145407">
      <w:bodyDiv w:val="1"/>
      <w:marLeft w:val="0"/>
      <w:marRight w:val="0"/>
      <w:marTop w:val="0"/>
      <w:marBottom w:val="0"/>
      <w:divBdr>
        <w:top w:val="none" w:sz="0" w:space="0" w:color="auto"/>
        <w:left w:val="none" w:sz="0" w:space="0" w:color="auto"/>
        <w:bottom w:val="none" w:sz="0" w:space="0" w:color="auto"/>
        <w:right w:val="none" w:sz="0" w:space="0" w:color="auto"/>
      </w:divBdr>
    </w:div>
    <w:div w:id="841311704">
      <w:bodyDiv w:val="1"/>
      <w:marLeft w:val="0"/>
      <w:marRight w:val="0"/>
      <w:marTop w:val="0"/>
      <w:marBottom w:val="0"/>
      <w:divBdr>
        <w:top w:val="none" w:sz="0" w:space="0" w:color="auto"/>
        <w:left w:val="none" w:sz="0" w:space="0" w:color="auto"/>
        <w:bottom w:val="none" w:sz="0" w:space="0" w:color="auto"/>
        <w:right w:val="none" w:sz="0" w:space="0" w:color="auto"/>
      </w:divBdr>
    </w:div>
    <w:div w:id="853765944">
      <w:bodyDiv w:val="1"/>
      <w:marLeft w:val="0"/>
      <w:marRight w:val="0"/>
      <w:marTop w:val="0"/>
      <w:marBottom w:val="0"/>
      <w:divBdr>
        <w:top w:val="none" w:sz="0" w:space="0" w:color="auto"/>
        <w:left w:val="none" w:sz="0" w:space="0" w:color="auto"/>
        <w:bottom w:val="none" w:sz="0" w:space="0" w:color="auto"/>
        <w:right w:val="none" w:sz="0" w:space="0" w:color="auto"/>
      </w:divBdr>
    </w:div>
    <w:div w:id="854616829">
      <w:bodyDiv w:val="1"/>
      <w:marLeft w:val="0"/>
      <w:marRight w:val="0"/>
      <w:marTop w:val="0"/>
      <w:marBottom w:val="0"/>
      <w:divBdr>
        <w:top w:val="none" w:sz="0" w:space="0" w:color="auto"/>
        <w:left w:val="none" w:sz="0" w:space="0" w:color="auto"/>
        <w:bottom w:val="none" w:sz="0" w:space="0" w:color="auto"/>
        <w:right w:val="none" w:sz="0" w:space="0" w:color="auto"/>
      </w:divBdr>
    </w:div>
    <w:div w:id="856381789">
      <w:bodyDiv w:val="1"/>
      <w:marLeft w:val="0"/>
      <w:marRight w:val="0"/>
      <w:marTop w:val="0"/>
      <w:marBottom w:val="0"/>
      <w:divBdr>
        <w:top w:val="none" w:sz="0" w:space="0" w:color="auto"/>
        <w:left w:val="none" w:sz="0" w:space="0" w:color="auto"/>
        <w:bottom w:val="none" w:sz="0" w:space="0" w:color="auto"/>
        <w:right w:val="none" w:sz="0" w:space="0" w:color="auto"/>
      </w:divBdr>
    </w:div>
    <w:div w:id="863135490">
      <w:bodyDiv w:val="1"/>
      <w:marLeft w:val="0"/>
      <w:marRight w:val="0"/>
      <w:marTop w:val="0"/>
      <w:marBottom w:val="0"/>
      <w:divBdr>
        <w:top w:val="none" w:sz="0" w:space="0" w:color="auto"/>
        <w:left w:val="none" w:sz="0" w:space="0" w:color="auto"/>
        <w:bottom w:val="none" w:sz="0" w:space="0" w:color="auto"/>
        <w:right w:val="none" w:sz="0" w:space="0" w:color="auto"/>
      </w:divBdr>
    </w:div>
    <w:div w:id="868026219">
      <w:bodyDiv w:val="1"/>
      <w:marLeft w:val="0"/>
      <w:marRight w:val="0"/>
      <w:marTop w:val="0"/>
      <w:marBottom w:val="0"/>
      <w:divBdr>
        <w:top w:val="none" w:sz="0" w:space="0" w:color="auto"/>
        <w:left w:val="none" w:sz="0" w:space="0" w:color="auto"/>
        <w:bottom w:val="none" w:sz="0" w:space="0" w:color="auto"/>
        <w:right w:val="none" w:sz="0" w:space="0" w:color="auto"/>
      </w:divBdr>
    </w:div>
    <w:div w:id="880823772">
      <w:bodyDiv w:val="1"/>
      <w:marLeft w:val="0"/>
      <w:marRight w:val="0"/>
      <w:marTop w:val="0"/>
      <w:marBottom w:val="0"/>
      <w:divBdr>
        <w:top w:val="none" w:sz="0" w:space="0" w:color="auto"/>
        <w:left w:val="none" w:sz="0" w:space="0" w:color="auto"/>
        <w:bottom w:val="none" w:sz="0" w:space="0" w:color="auto"/>
        <w:right w:val="none" w:sz="0" w:space="0" w:color="auto"/>
      </w:divBdr>
    </w:div>
    <w:div w:id="898322364">
      <w:bodyDiv w:val="1"/>
      <w:marLeft w:val="0"/>
      <w:marRight w:val="0"/>
      <w:marTop w:val="0"/>
      <w:marBottom w:val="0"/>
      <w:divBdr>
        <w:top w:val="none" w:sz="0" w:space="0" w:color="auto"/>
        <w:left w:val="none" w:sz="0" w:space="0" w:color="auto"/>
        <w:bottom w:val="none" w:sz="0" w:space="0" w:color="auto"/>
        <w:right w:val="none" w:sz="0" w:space="0" w:color="auto"/>
      </w:divBdr>
    </w:div>
    <w:div w:id="900290153">
      <w:bodyDiv w:val="1"/>
      <w:marLeft w:val="0"/>
      <w:marRight w:val="0"/>
      <w:marTop w:val="0"/>
      <w:marBottom w:val="0"/>
      <w:divBdr>
        <w:top w:val="none" w:sz="0" w:space="0" w:color="auto"/>
        <w:left w:val="none" w:sz="0" w:space="0" w:color="auto"/>
        <w:bottom w:val="none" w:sz="0" w:space="0" w:color="auto"/>
        <w:right w:val="none" w:sz="0" w:space="0" w:color="auto"/>
      </w:divBdr>
    </w:div>
    <w:div w:id="910776556">
      <w:bodyDiv w:val="1"/>
      <w:marLeft w:val="0"/>
      <w:marRight w:val="0"/>
      <w:marTop w:val="0"/>
      <w:marBottom w:val="0"/>
      <w:divBdr>
        <w:top w:val="none" w:sz="0" w:space="0" w:color="auto"/>
        <w:left w:val="none" w:sz="0" w:space="0" w:color="auto"/>
        <w:bottom w:val="none" w:sz="0" w:space="0" w:color="auto"/>
        <w:right w:val="none" w:sz="0" w:space="0" w:color="auto"/>
      </w:divBdr>
    </w:div>
    <w:div w:id="920137558">
      <w:bodyDiv w:val="1"/>
      <w:marLeft w:val="0"/>
      <w:marRight w:val="0"/>
      <w:marTop w:val="0"/>
      <w:marBottom w:val="0"/>
      <w:divBdr>
        <w:top w:val="none" w:sz="0" w:space="0" w:color="auto"/>
        <w:left w:val="none" w:sz="0" w:space="0" w:color="auto"/>
        <w:bottom w:val="none" w:sz="0" w:space="0" w:color="auto"/>
        <w:right w:val="none" w:sz="0" w:space="0" w:color="auto"/>
      </w:divBdr>
    </w:div>
    <w:div w:id="932586373">
      <w:bodyDiv w:val="1"/>
      <w:marLeft w:val="0"/>
      <w:marRight w:val="0"/>
      <w:marTop w:val="0"/>
      <w:marBottom w:val="0"/>
      <w:divBdr>
        <w:top w:val="none" w:sz="0" w:space="0" w:color="auto"/>
        <w:left w:val="none" w:sz="0" w:space="0" w:color="auto"/>
        <w:bottom w:val="none" w:sz="0" w:space="0" w:color="auto"/>
        <w:right w:val="none" w:sz="0" w:space="0" w:color="auto"/>
      </w:divBdr>
    </w:div>
    <w:div w:id="936252915">
      <w:bodyDiv w:val="1"/>
      <w:marLeft w:val="0"/>
      <w:marRight w:val="0"/>
      <w:marTop w:val="0"/>
      <w:marBottom w:val="0"/>
      <w:divBdr>
        <w:top w:val="none" w:sz="0" w:space="0" w:color="auto"/>
        <w:left w:val="none" w:sz="0" w:space="0" w:color="auto"/>
        <w:bottom w:val="none" w:sz="0" w:space="0" w:color="auto"/>
        <w:right w:val="none" w:sz="0" w:space="0" w:color="auto"/>
      </w:divBdr>
    </w:div>
    <w:div w:id="940648263">
      <w:bodyDiv w:val="1"/>
      <w:marLeft w:val="0"/>
      <w:marRight w:val="0"/>
      <w:marTop w:val="0"/>
      <w:marBottom w:val="0"/>
      <w:divBdr>
        <w:top w:val="none" w:sz="0" w:space="0" w:color="auto"/>
        <w:left w:val="none" w:sz="0" w:space="0" w:color="auto"/>
        <w:bottom w:val="none" w:sz="0" w:space="0" w:color="auto"/>
        <w:right w:val="none" w:sz="0" w:space="0" w:color="auto"/>
      </w:divBdr>
    </w:div>
    <w:div w:id="943928316">
      <w:bodyDiv w:val="1"/>
      <w:marLeft w:val="0"/>
      <w:marRight w:val="0"/>
      <w:marTop w:val="0"/>
      <w:marBottom w:val="0"/>
      <w:divBdr>
        <w:top w:val="none" w:sz="0" w:space="0" w:color="auto"/>
        <w:left w:val="none" w:sz="0" w:space="0" w:color="auto"/>
        <w:bottom w:val="none" w:sz="0" w:space="0" w:color="auto"/>
        <w:right w:val="none" w:sz="0" w:space="0" w:color="auto"/>
      </w:divBdr>
    </w:div>
    <w:div w:id="948002123">
      <w:bodyDiv w:val="1"/>
      <w:marLeft w:val="0"/>
      <w:marRight w:val="0"/>
      <w:marTop w:val="0"/>
      <w:marBottom w:val="0"/>
      <w:divBdr>
        <w:top w:val="none" w:sz="0" w:space="0" w:color="auto"/>
        <w:left w:val="none" w:sz="0" w:space="0" w:color="auto"/>
        <w:bottom w:val="none" w:sz="0" w:space="0" w:color="auto"/>
        <w:right w:val="none" w:sz="0" w:space="0" w:color="auto"/>
      </w:divBdr>
    </w:div>
    <w:div w:id="953943973">
      <w:bodyDiv w:val="1"/>
      <w:marLeft w:val="0"/>
      <w:marRight w:val="0"/>
      <w:marTop w:val="0"/>
      <w:marBottom w:val="0"/>
      <w:divBdr>
        <w:top w:val="none" w:sz="0" w:space="0" w:color="auto"/>
        <w:left w:val="none" w:sz="0" w:space="0" w:color="auto"/>
        <w:bottom w:val="none" w:sz="0" w:space="0" w:color="auto"/>
        <w:right w:val="none" w:sz="0" w:space="0" w:color="auto"/>
      </w:divBdr>
    </w:div>
    <w:div w:id="964502688">
      <w:bodyDiv w:val="1"/>
      <w:marLeft w:val="0"/>
      <w:marRight w:val="0"/>
      <w:marTop w:val="0"/>
      <w:marBottom w:val="0"/>
      <w:divBdr>
        <w:top w:val="none" w:sz="0" w:space="0" w:color="auto"/>
        <w:left w:val="none" w:sz="0" w:space="0" w:color="auto"/>
        <w:bottom w:val="none" w:sz="0" w:space="0" w:color="auto"/>
        <w:right w:val="none" w:sz="0" w:space="0" w:color="auto"/>
      </w:divBdr>
    </w:div>
    <w:div w:id="964697804">
      <w:bodyDiv w:val="1"/>
      <w:marLeft w:val="0"/>
      <w:marRight w:val="0"/>
      <w:marTop w:val="0"/>
      <w:marBottom w:val="0"/>
      <w:divBdr>
        <w:top w:val="none" w:sz="0" w:space="0" w:color="auto"/>
        <w:left w:val="none" w:sz="0" w:space="0" w:color="auto"/>
        <w:bottom w:val="none" w:sz="0" w:space="0" w:color="auto"/>
        <w:right w:val="none" w:sz="0" w:space="0" w:color="auto"/>
      </w:divBdr>
    </w:div>
    <w:div w:id="981347490">
      <w:bodyDiv w:val="1"/>
      <w:marLeft w:val="0"/>
      <w:marRight w:val="0"/>
      <w:marTop w:val="0"/>
      <w:marBottom w:val="0"/>
      <w:divBdr>
        <w:top w:val="none" w:sz="0" w:space="0" w:color="auto"/>
        <w:left w:val="none" w:sz="0" w:space="0" w:color="auto"/>
        <w:bottom w:val="none" w:sz="0" w:space="0" w:color="auto"/>
        <w:right w:val="none" w:sz="0" w:space="0" w:color="auto"/>
      </w:divBdr>
    </w:div>
    <w:div w:id="986471380">
      <w:bodyDiv w:val="1"/>
      <w:marLeft w:val="0"/>
      <w:marRight w:val="0"/>
      <w:marTop w:val="0"/>
      <w:marBottom w:val="0"/>
      <w:divBdr>
        <w:top w:val="none" w:sz="0" w:space="0" w:color="auto"/>
        <w:left w:val="none" w:sz="0" w:space="0" w:color="auto"/>
        <w:bottom w:val="none" w:sz="0" w:space="0" w:color="auto"/>
        <w:right w:val="none" w:sz="0" w:space="0" w:color="auto"/>
      </w:divBdr>
    </w:div>
    <w:div w:id="1057390478">
      <w:bodyDiv w:val="1"/>
      <w:marLeft w:val="0"/>
      <w:marRight w:val="0"/>
      <w:marTop w:val="0"/>
      <w:marBottom w:val="0"/>
      <w:divBdr>
        <w:top w:val="none" w:sz="0" w:space="0" w:color="auto"/>
        <w:left w:val="none" w:sz="0" w:space="0" w:color="auto"/>
        <w:bottom w:val="none" w:sz="0" w:space="0" w:color="auto"/>
        <w:right w:val="none" w:sz="0" w:space="0" w:color="auto"/>
      </w:divBdr>
    </w:div>
    <w:div w:id="1110392235">
      <w:bodyDiv w:val="1"/>
      <w:marLeft w:val="0"/>
      <w:marRight w:val="0"/>
      <w:marTop w:val="0"/>
      <w:marBottom w:val="0"/>
      <w:divBdr>
        <w:top w:val="none" w:sz="0" w:space="0" w:color="auto"/>
        <w:left w:val="none" w:sz="0" w:space="0" w:color="auto"/>
        <w:bottom w:val="none" w:sz="0" w:space="0" w:color="auto"/>
        <w:right w:val="none" w:sz="0" w:space="0" w:color="auto"/>
      </w:divBdr>
    </w:div>
    <w:div w:id="1126198315">
      <w:bodyDiv w:val="1"/>
      <w:marLeft w:val="0"/>
      <w:marRight w:val="0"/>
      <w:marTop w:val="0"/>
      <w:marBottom w:val="0"/>
      <w:divBdr>
        <w:top w:val="none" w:sz="0" w:space="0" w:color="auto"/>
        <w:left w:val="none" w:sz="0" w:space="0" w:color="auto"/>
        <w:bottom w:val="none" w:sz="0" w:space="0" w:color="auto"/>
        <w:right w:val="none" w:sz="0" w:space="0" w:color="auto"/>
      </w:divBdr>
    </w:div>
    <w:div w:id="1151674676">
      <w:bodyDiv w:val="1"/>
      <w:marLeft w:val="0"/>
      <w:marRight w:val="0"/>
      <w:marTop w:val="0"/>
      <w:marBottom w:val="0"/>
      <w:divBdr>
        <w:top w:val="none" w:sz="0" w:space="0" w:color="auto"/>
        <w:left w:val="none" w:sz="0" w:space="0" w:color="auto"/>
        <w:bottom w:val="none" w:sz="0" w:space="0" w:color="auto"/>
        <w:right w:val="none" w:sz="0" w:space="0" w:color="auto"/>
      </w:divBdr>
    </w:div>
    <w:div w:id="1152258850">
      <w:bodyDiv w:val="1"/>
      <w:marLeft w:val="0"/>
      <w:marRight w:val="0"/>
      <w:marTop w:val="0"/>
      <w:marBottom w:val="0"/>
      <w:divBdr>
        <w:top w:val="none" w:sz="0" w:space="0" w:color="auto"/>
        <w:left w:val="none" w:sz="0" w:space="0" w:color="auto"/>
        <w:bottom w:val="none" w:sz="0" w:space="0" w:color="auto"/>
        <w:right w:val="none" w:sz="0" w:space="0" w:color="auto"/>
      </w:divBdr>
      <w:divsChild>
        <w:div w:id="37363169">
          <w:marLeft w:val="0"/>
          <w:marRight w:val="0"/>
          <w:marTop w:val="0"/>
          <w:marBottom w:val="0"/>
          <w:divBdr>
            <w:top w:val="none" w:sz="0" w:space="0" w:color="auto"/>
            <w:left w:val="none" w:sz="0" w:space="0" w:color="auto"/>
            <w:bottom w:val="none" w:sz="0" w:space="0" w:color="auto"/>
            <w:right w:val="none" w:sz="0" w:space="0" w:color="auto"/>
          </w:divBdr>
        </w:div>
      </w:divsChild>
    </w:div>
    <w:div w:id="1176263666">
      <w:bodyDiv w:val="1"/>
      <w:marLeft w:val="0"/>
      <w:marRight w:val="0"/>
      <w:marTop w:val="0"/>
      <w:marBottom w:val="0"/>
      <w:divBdr>
        <w:top w:val="none" w:sz="0" w:space="0" w:color="auto"/>
        <w:left w:val="none" w:sz="0" w:space="0" w:color="auto"/>
        <w:bottom w:val="none" w:sz="0" w:space="0" w:color="auto"/>
        <w:right w:val="none" w:sz="0" w:space="0" w:color="auto"/>
      </w:divBdr>
    </w:div>
    <w:div w:id="1181628147">
      <w:bodyDiv w:val="1"/>
      <w:marLeft w:val="0"/>
      <w:marRight w:val="0"/>
      <w:marTop w:val="0"/>
      <w:marBottom w:val="0"/>
      <w:divBdr>
        <w:top w:val="none" w:sz="0" w:space="0" w:color="auto"/>
        <w:left w:val="none" w:sz="0" w:space="0" w:color="auto"/>
        <w:bottom w:val="none" w:sz="0" w:space="0" w:color="auto"/>
        <w:right w:val="none" w:sz="0" w:space="0" w:color="auto"/>
      </w:divBdr>
    </w:div>
    <w:div w:id="1186477185">
      <w:bodyDiv w:val="1"/>
      <w:marLeft w:val="0"/>
      <w:marRight w:val="0"/>
      <w:marTop w:val="0"/>
      <w:marBottom w:val="0"/>
      <w:divBdr>
        <w:top w:val="none" w:sz="0" w:space="0" w:color="auto"/>
        <w:left w:val="none" w:sz="0" w:space="0" w:color="auto"/>
        <w:bottom w:val="none" w:sz="0" w:space="0" w:color="auto"/>
        <w:right w:val="none" w:sz="0" w:space="0" w:color="auto"/>
      </w:divBdr>
      <w:divsChild>
        <w:div w:id="1318343921">
          <w:marLeft w:val="0"/>
          <w:marRight w:val="0"/>
          <w:marTop w:val="0"/>
          <w:marBottom w:val="0"/>
          <w:divBdr>
            <w:top w:val="none" w:sz="0" w:space="0" w:color="auto"/>
            <w:left w:val="none" w:sz="0" w:space="0" w:color="auto"/>
            <w:bottom w:val="none" w:sz="0" w:space="0" w:color="auto"/>
            <w:right w:val="none" w:sz="0" w:space="0" w:color="auto"/>
          </w:divBdr>
          <w:divsChild>
            <w:div w:id="781800352">
              <w:marLeft w:val="0"/>
              <w:marRight w:val="0"/>
              <w:marTop w:val="0"/>
              <w:marBottom w:val="0"/>
              <w:divBdr>
                <w:top w:val="none" w:sz="0" w:space="0" w:color="auto"/>
                <w:left w:val="none" w:sz="0" w:space="0" w:color="auto"/>
                <w:bottom w:val="none" w:sz="0" w:space="0" w:color="auto"/>
                <w:right w:val="none" w:sz="0" w:space="0" w:color="auto"/>
              </w:divBdr>
              <w:divsChild>
                <w:div w:id="1929580633">
                  <w:marLeft w:val="0"/>
                  <w:marRight w:val="0"/>
                  <w:marTop w:val="0"/>
                  <w:marBottom w:val="0"/>
                  <w:divBdr>
                    <w:top w:val="none" w:sz="0" w:space="0" w:color="auto"/>
                    <w:left w:val="none" w:sz="0" w:space="0" w:color="auto"/>
                    <w:bottom w:val="none" w:sz="0" w:space="0" w:color="auto"/>
                    <w:right w:val="none" w:sz="0" w:space="0" w:color="auto"/>
                  </w:divBdr>
                  <w:divsChild>
                    <w:div w:id="18272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13477">
      <w:bodyDiv w:val="1"/>
      <w:marLeft w:val="0"/>
      <w:marRight w:val="0"/>
      <w:marTop w:val="0"/>
      <w:marBottom w:val="0"/>
      <w:divBdr>
        <w:top w:val="none" w:sz="0" w:space="0" w:color="auto"/>
        <w:left w:val="none" w:sz="0" w:space="0" w:color="auto"/>
        <w:bottom w:val="none" w:sz="0" w:space="0" w:color="auto"/>
        <w:right w:val="none" w:sz="0" w:space="0" w:color="auto"/>
      </w:divBdr>
    </w:div>
    <w:div w:id="1210919035">
      <w:bodyDiv w:val="1"/>
      <w:marLeft w:val="0"/>
      <w:marRight w:val="0"/>
      <w:marTop w:val="0"/>
      <w:marBottom w:val="0"/>
      <w:divBdr>
        <w:top w:val="none" w:sz="0" w:space="0" w:color="auto"/>
        <w:left w:val="none" w:sz="0" w:space="0" w:color="auto"/>
        <w:bottom w:val="none" w:sz="0" w:space="0" w:color="auto"/>
        <w:right w:val="none" w:sz="0" w:space="0" w:color="auto"/>
      </w:divBdr>
    </w:div>
    <w:div w:id="1220282346">
      <w:bodyDiv w:val="1"/>
      <w:marLeft w:val="0"/>
      <w:marRight w:val="0"/>
      <w:marTop w:val="0"/>
      <w:marBottom w:val="0"/>
      <w:divBdr>
        <w:top w:val="none" w:sz="0" w:space="0" w:color="auto"/>
        <w:left w:val="none" w:sz="0" w:space="0" w:color="auto"/>
        <w:bottom w:val="none" w:sz="0" w:space="0" w:color="auto"/>
        <w:right w:val="none" w:sz="0" w:space="0" w:color="auto"/>
      </w:divBdr>
    </w:div>
    <w:div w:id="1258293283">
      <w:bodyDiv w:val="1"/>
      <w:marLeft w:val="0"/>
      <w:marRight w:val="0"/>
      <w:marTop w:val="0"/>
      <w:marBottom w:val="0"/>
      <w:divBdr>
        <w:top w:val="none" w:sz="0" w:space="0" w:color="auto"/>
        <w:left w:val="none" w:sz="0" w:space="0" w:color="auto"/>
        <w:bottom w:val="none" w:sz="0" w:space="0" w:color="auto"/>
        <w:right w:val="none" w:sz="0" w:space="0" w:color="auto"/>
      </w:divBdr>
    </w:div>
    <w:div w:id="1258322128">
      <w:bodyDiv w:val="1"/>
      <w:marLeft w:val="0"/>
      <w:marRight w:val="0"/>
      <w:marTop w:val="0"/>
      <w:marBottom w:val="0"/>
      <w:divBdr>
        <w:top w:val="none" w:sz="0" w:space="0" w:color="auto"/>
        <w:left w:val="none" w:sz="0" w:space="0" w:color="auto"/>
        <w:bottom w:val="none" w:sz="0" w:space="0" w:color="auto"/>
        <w:right w:val="none" w:sz="0" w:space="0" w:color="auto"/>
      </w:divBdr>
      <w:divsChild>
        <w:div w:id="1682201735">
          <w:marLeft w:val="0"/>
          <w:marRight w:val="0"/>
          <w:marTop w:val="0"/>
          <w:marBottom w:val="0"/>
          <w:divBdr>
            <w:top w:val="none" w:sz="0" w:space="0" w:color="auto"/>
            <w:left w:val="none" w:sz="0" w:space="0" w:color="auto"/>
            <w:bottom w:val="none" w:sz="0" w:space="0" w:color="auto"/>
            <w:right w:val="none" w:sz="0" w:space="0" w:color="auto"/>
          </w:divBdr>
        </w:div>
      </w:divsChild>
    </w:div>
    <w:div w:id="1260793833">
      <w:bodyDiv w:val="1"/>
      <w:marLeft w:val="0"/>
      <w:marRight w:val="0"/>
      <w:marTop w:val="0"/>
      <w:marBottom w:val="0"/>
      <w:divBdr>
        <w:top w:val="none" w:sz="0" w:space="0" w:color="auto"/>
        <w:left w:val="none" w:sz="0" w:space="0" w:color="auto"/>
        <w:bottom w:val="none" w:sz="0" w:space="0" w:color="auto"/>
        <w:right w:val="none" w:sz="0" w:space="0" w:color="auto"/>
      </w:divBdr>
    </w:div>
    <w:div w:id="1272780956">
      <w:bodyDiv w:val="1"/>
      <w:marLeft w:val="0"/>
      <w:marRight w:val="0"/>
      <w:marTop w:val="0"/>
      <w:marBottom w:val="0"/>
      <w:divBdr>
        <w:top w:val="none" w:sz="0" w:space="0" w:color="auto"/>
        <w:left w:val="none" w:sz="0" w:space="0" w:color="auto"/>
        <w:bottom w:val="none" w:sz="0" w:space="0" w:color="auto"/>
        <w:right w:val="none" w:sz="0" w:space="0" w:color="auto"/>
      </w:divBdr>
    </w:div>
    <w:div w:id="1288664125">
      <w:bodyDiv w:val="1"/>
      <w:marLeft w:val="0"/>
      <w:marRight w:val="0"/>
      <w:marTop w:val="0"/>
      <w:marBottom w:val="0"/>
      <w:divBdr>
        <w:top w:val="none" w:sz="0" w:space="0" w:color="auto"/>
        <w:left w:val="none" w:sz="0" w:space="0" w:color="auto"/>
        <w:bottom w:val="none" w:sz="0" w:space="0" w:color="auto"/>
        <w:right w:val="none" w:sz="0" w:space="0" w:color="auto"/>
      </w:divBdr>
    </w:div>
    <w:div w:id="1296596936">
      <w:bodyDiv w:val="1"/>
      <w:marLeft w:val="0"/>
      <w:marRight w:val="0"/>
      <w:marTop w:val="0"/>
      <w:marBottom w:val="0"/>
      <w:divBdr>
        <w:top w:val="none" w:sz="0" w:space="0" w:color="auto"/>
        <w:left w:val="none" w:sz="0" w:space="0" w:color="auto"/>
        <w:bottom w:val="none" w:sz="0" w:space="0" w:color="auto"/>
        <w:right w:val="none" w:sz="0" w:space="0" w:color="auto"/>
      </w:divBdr>
    </w:div>
    <w:div w:id="1318652121">
      <w:bodyDiv w:val="1"/>
      <w:marLeft w:val="0"/>
      <w:marRight w:val="0"/>
      <w:marTop w:val="0"/>
      <w:marBottom w:val="0"/>
      <w:divBdr>
        <w:top w:val="none" w:sz="0" w:space="0" w:color="auto"/>
        <w:left w:val="none" w:sz="0" w:space="0" w:color="auto"/>
        <w:bottom w:val="none" w:sz="0" w:space="0" w:color="auto"/>
        <w:right w:val="none" w:sz="0" w:space="0" w:color="auto"/>
      </w:divBdr>
    </w:div>
    <w:div w:id="1320957854">
      <w:bodyDiv w:val="1"/>
      <w:marLeft w:val="0"/>
      <w:marRight w:val="0"/>
      <w:marTop w:val="0"/>
      <w:marBottom w:val="0"/>
      <w:divBdr>
        <w:top w:val="none" w:sz="0" w:space="0" w:color="auto"/>
        <w:left w:val="none" w:sz="0" w:space="0" w:color="auto"/>
        <w:bottom w:val="none" w:sz="0" w:space="0" w:color="auto"/>
        <w:right w:val="none" w:sz="0" w:space="0" w:color="auto"/>
      </w:divBdr>
    </w:div>
    <w:div w:id="1329092463">
      <w:bodyDiv w:val="1"/>
      <w:marLeft w:val="0"/>
      <w:marRight w:val="0"/>
      <w:marTop w:val="0"/>
      <w:marBottom w:val="0"/>
      <w:divBdr>
        <w:top w:val="none" w:sz="0" w:space="0" w:color="auto"/>
        <w:left w:val="none" w:sz="0" w:space="0" w:color="auto"/>
        <w:bottom w:val="none" w:sz="0" w:space="0" w:color="auto"/>
        <w:right w:val="none" w:sz="0" w:space="0" w:color="auto"/>
      </w:divBdr>
    </w:div>
    <w:div w:id="1334529167">
      <w:bodyDiv w:val="1"/>
      <w:marLeft w:val="0"/>
      <w:marRight w:val="0"/>
      <w:marTop w:val="0"/>
      <w:marBottom w:val="0"/>
      <w:divBdr>
        <w:top w:val="none" w:sz="0" w:space="0" w:color="auto"/>
        <w:left w:val="none" w:sz="0" w:space="0" w:color="auto"/>
        <w:bottom w:val="none" w:sz="0" w:space="0" w:color="auto"/>
        <w:right w:val="none" w:sz="0" w:space="0" w:color="auto"/>
      </w:divBdr>
    </w:div>
    <w:div w:id="1341540822">
      <w:bodyDiv w:val="1"/>
      <w:marLeft w:val="0"/>
      <w:marRight w:val="0"/>
      <w:marTop w:val="0"/>
      <w:marBottom w:val="0"/>
      <w:divBdr>
        <w:top w:val="none" w:sz="0" w:space="0" w:color="auto"/>
        <w:left w:val="none" w:sz="0" w:space="0" w:color="auto"/>
        <w:bottom w:val="none" w:sz="0" w:space="0" w:color="auto"/>
        <w:right w:val="none" w:sz="0" w:space="0" w:color="auto"/>
      </w:divBdr>
      <w:divsChild>
        <w:div w:id="1083914389">
          <w:marLeft w:val="0"/>
          <w:marRight w:val="0"/>
          <w:marTop w:val="0"/>
          <w:marBottom w:val="0"/>
          <w:divBdr>
            <w:top w:val="none" w:sz="0" w:space="0" w:color="auto"/>
            <w:left w:val="none" w:sz="0" w:space="0" w:color="auto"/>
            <w:bottom w:val="none" w:sz="0" w:space="0" w:color="auto"/>
            <w:right w:val="none" w:sz="0" w:space="0" w:color="auto"/>
          </w:divBdr>
        </w:div>
      </w:divsChild>
    </w:div>
    <w:div w:id="1345744527">
      <w:bodyDiv w:val="1"/>
      <w:marLeft w:val="0"/>
      <w:marRight w:val="0"/>
      <w:marTop w:val="0"/>
      <w:marBottom w:val="0"/>
      <w:divBdr>
        <w:top w:val="none" w:sz="0" w:space="0" w:color="auto"/>
        <w:left w:val="none" w:sz="0" w:space="0" w:color="auto"/>
        <w:bottom w:val="none" w:sz="0" w:space="0" w:color="auto"/>
        <w:right w:val="none" w:sz="0" w:space="0" w:color="auto"/>
      </w:divBdr>
    </w:div>
    <w:div w:id="1368406028">
      <w:bodyDiv w:val="1"/>
      <w:marLeft w:val="0"/>
      <w:marRight w:val="0"/>
      <w:marTop w:val="0"/>
      <w:marBottom w:val="0"/>
      <w:divBdr>
        <w:top w:val="none" w:sz="0" w:space="0" w:color="auto"/>
        <w:left w:val="none" w:sz="0" w:space="0" w:color="auto"/>
        <w:bottom w:val="none" w:sz="0" w:space="0" w:color="auto"/>
        <w:right w:val="none" w:sz="0" w:space="0" w:color="auto"/>
      </w:divBdr>
    </w:div>
    <w:div w:id="1373264118">
      <w:bodyDiv w:val="1"/>
      <w:marLeft w:val="0"/>
      <w:marRight w:val="0"/>
      <w:marTop w:val="0"/>
      <w:marBottom w:val="0"/>
      <w:divBdr>
        <w:top w:val="none" w:sz="0" w:space="0" w:color="auto"/>
        <w:left w:val="none" w:sz="0" w:space="0" w:color="auto"/>
        <w:bottom w:val="none" w:sz="0" w:space="0" w:color="auto"/>
        <w:right w:val="none" w:sz="0" w:space="0" w:color="auto"/>
      </w:divBdr>
      <w:divsChild>
        <w:div w:id="1091320017">
          <w:marLeft w:val="0"/>
          <w:marRight w:val="0"/>
          <w:marTop w:val="0"/>
          <w:marBottom w:val="0"/>
          <w:divBdr>
            <w:top w:val="none" w:sz="0" w:space="0" w:color="auto"/>
            <w:left w:val="none" w:sz="0" w:space="0" w:color="auto"/>
            <w:bottom w:val="none" w:sz="0" w:space="0" w:color="auto"/>
            <w:right w:val="none" w:sz="0" w:space="0" w:color="auto"/>
          </w:divBdr>
          <w:divsChild>
            <w:div w:id="1252549577">
              <w:marLeft w:val="0"/>
              <w:marRight w:val="0"/>
              <w:marTop w:val="0"/>
              <w:marBottom w:val="0"/>
              <w:divBdr>
                <w:top w:val="none" w:sz="0" w:space="0" w:color="auto"/>
                <w:left w:val="none" w:sz="0" w:space="0" w:color="auto"/>
                <w:bottom w:val="none" w:sz="0" w:space="0" w:color="auto"/>
                <w:right w:val="none" w:sz="0" w:space="0" w:color="auto"/>
              </w:divBdr>
              <w:divsChild>
                <w:div w:id="398211018">
                  <w:marLeft w:val="0"/>
                  <w:marRight w:val="0"/>
                  <w:marTop w:val="0"/>
                  <w:marBottom w:val="0"/>
                  <w:divBdr>
                    <w:top w:val="none" w:sz="0" w:space="0" w:color="auto"/>
                    <w:left w:val="none" w:sz="0" w:space="0" w:color="auto"/>
                    <w:bottom w:val="none" w:sz="0" w:space="0" w:color="auto"/>
                    <w:right w:val="none" w:sz="0" w:space="0" w:color="auto"/>
                  </w:divBdr>
                  <w:divsChild>
                    <w:div w:id="583075804">
                      <w:marLeft w:val="0"/>
                      <w:marRight w:val="0"/>
                      <w:marTop w:val="120"/>
                      <w:marBottom w:val="0"/>
                      <w:divBdr>
                        <w:top w:val="none" w:sz="0" w:space="0" w:color="auto"/>
                        <w:left w:val="none" w:sz="0" w:space="0" w:color="auto"/>
                        <w:bottom w:val="none" w:sz="0" w:space="0" w:color="auto"/>
                        <w:right w:val="none" w:sz="0" w:space="0" w:color="auto"/>
                      </w:divBdr>
                      <w:divsChild>
                        <w:div w:id="1681734261">
                          <w:marLeft w:val="0"/>
                          <w:marRight w:val="0"/>
                          <w:marTop w:val="0"/>
                          <w:marBottom w:val="0"/>
                          <w:divBdr>
                            <w:top w:val="none" w:sz="0" w:space="0" w:color="auto"/>
                            <w:left w:val="none" w:sz="0" w:space="0" w:color="auto"/>
                            <w:bottom w:val="none" w:sz="0" w:space="0" w:color="auto"/>
                            <w:right w:val="none" w:sz="0" w:space="0" w:color="auto"/>
                          </w:divBdr>
                          <w:divsChild>
                            <w:div w:id="242230129">
                              <w:marLeft w:val="0"/>
                              <w:marRight w:val="0"/>
                              <w:marTop w:val="240"/>
                              <w:marBottom w:val="240"/>
                              <w:divBdr>
                                <w:top w:val="single" w:sz="24" w:space="6" w:color="90A4AE"/>
                                <w:left w:val="none" w:sz="0" w:space="0" w:color="auto"/>
                                <w:bottom w:val="none" w:sz="0" w:space="0" w:color="auto"/>
                                <w:right w:val="none" w:sz="0" w:space="0" w:color="auto"/>
                              </w:divBdr>
                              <w:divsChild>
                                <w:div w:id="1347168125">
                                  <w:marLeft w:val="0"/>
                                  <w:marRight w:val="0"/>
                                  <w:marTop w:val="0"/>
                                  <w:marBottom w:val="15"/>
                                  <w:divBdr>
                                    <w:top w:val="none" w:sz="0" w:space="0" w:color="auto"/>
                                    <w:left w:val="none" w:sz="0" w:space="0" w:color="auto"/>
                                    <w:bottom w:val="none" w:sz="0" w:space="0" w:color="auto"/>
                                    <w:right w:val="none" w:sz="0" w:space="0" w:color="auto"/>
                                  </w:divBdr>
                                  <w:divsChild>
                                    <w:div w:id="164829077">
                                      <w:marLeft w:val="0"/>
                                      <w:marRight w:val="0"/>
                                      <w:marTop w:val="0"/>
                                      <w:marBottom w:val="0"/>
                                      <w:divBdr>
                                        <w:top w:val="none" w:sz="0" w:space="0" w:color="auto"/>
                                        <w:left w:val="none" w:sz="0" w:space="0" w:color="auto"/>
                                        <w:bottom w:val="none" w:sz="0" w:space="0" w:color="auto"/>
                                        <w:right w:val="none" w:sz="0" w:space="0" w:color="auto"/>
                                      </w:divBdr>
                                    </w:div>
                                    <w:div w:id="1305699814">
                                      <w:marLeft w:val="0"/>
                                      <w:marRight w:val="0"/>
                                      <w:marTop w:val="30"/>
                                      <w:marBottom w:val="0"/>
                                      <w:divBdr>
                                        <w:top w:val="none" w:sz="0" w:space="0" w:color="auto"/>
                                        <w:left w:val="none" w:sz="0" w:space="0" w:color="auto"/>
                                        <w:bottom w:val="none" w:sz="0" w:space="0" w:color="auto"/>
                                        <w:right w:val="none" w:sz="0" w:space="0" w:color="auto"/>
                                      </w:divBdr>
                                    </w:div>
                                  </w:divsChild>
                                </w:div>
                                <w:div w:id="2083140238">
                                  <w:marLeft w:val="0"/>
                                  <w:marRight w:val="0"/>
                                  <w:marTop w:val="0"/>
                                  <w:marBottom w:val="0"/>
                                  <w:divBdr>
                                    <w:top w:val="none" w:sz="0" w:space="0" w:color="auto"/>
                                    <w:left w:val="none" w:sz="0" w:space="0" w:color="auto"/>
                                    <w:bottom w:val="none" w:sz="0" w:space="0" w:color="auto"/>
                                    <w:right w:val="none" w:sz="0" w:space="0" w:color="auto"/>
                                  </w:divBdr>
                                </w:div>
                              </w:divsChild>
                            </w:div>
                            <w:div w:id="1806242223">
                              <w:marLeft w:val="0"/>
                              <w:marRight w:val="0"/>
                              <w:marTop w:val="0"/>
                              <w:marBottom w:val="0"/>
                              <w:divBdr>
                                <w:top w:val="none" w:sz="0" w:space="0" w:color="auto"/>
                                <w:left w:val="none" w:sz="0" w:space="0" w:color="auto"/>
                                <w:bottom w:val="none" w:sz="0" w:space="0" w:color="auto"/>
                                <w:right w:val="none" w:sz="0" w:space="0" w:color="auto"/>
                              </w:divBdr>
                              <w:divsChild>
                                <w:div w:id="730033412">
                                  <w:marLeft w:val="0"/>
                                  <w:marRight w:val="0"/>
                                  <w:marTop w:val="0"/>
                                  <w:marBottom w:val="0"/>
                                  <w:divBdr>
                                    <w:top w:val="none" w:sz="0" w:space="0" w:color="auto"/>
                                    <w:left w:val="none" w:sz="0" w:space="0" w:color="auto"/>
                                    <w:bottom w:val="none" w:sz="0" w:space="0" w:color="auto"/>
                                    <w:right w:val="none" w:sz="0" w:space="0" w:color="auto"/>
                                  </w:divBdr>
                                  <w:divsChild>
                                    <w:div w:id="148718034">
                                      <w:marLeft w:val="0"/>
                                      <w:marRight w:val="0"/>
                                      <w:marTop w:val="0"/>
                                      <w:marBottom w:val="0"/>
                                      <w:divBdr>
                                        <w:top w:val="none" w:sz="0" w:space="0" w:color="auto"/>
                                        <w:left w:val="none" w:sz="0" w:space="0" w:color="auto"/>
                                        <w:bottom w:val="none" w:sz="0" w:space="0" w:color="auto"/>
                                        <w:right w:val="none" w:sz="0" w:space="0" w:color="auto"/>
                                      </w:divBdr>
                                      <w:divsChild>
                                        <w:div w:id="2059040336">
                                          <w:marLeft w:val="0"/>
                                          <w:marRight w:val="0"/>
                                          <w:marTop w:val="0"/>
                                          <w:marBottom w:val="0"/>
                                          <w:divBdr>
                                            <w:top w:val="none" w:sz="0" w:space="0" w:color="auto"/>
                                            <w:left w:val="none" w:sz="0" w:space="0" w:color="auto"/>
                                            <w:bottom w:val="none" w:sz="0" w:space="0" w:color="auto"/>
                                            <w:right w:val="none" w:sz="0" w:space="0" w:color="auto"/>
                                          </w:divBdr>
                                          <w:divsChild>
                                            <w:div w:id="80439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4873387">
          <w:marLeft w:val="0"/>
          <w:marRight w:val="0"/>
          <w:marTop w:val="0"/>
          <w:marBottom w:val="0"/>
          <w:divBdr>
            <w:top w:val="none" w:sz="0" w:space="0" w:color="auto"/>
            <w:left w:val="none" w:sz="0" w:space="0" w:color="auto"/>
            <w:bottom w:val="none" w:sz="0" w:space="0" w:color="auto"/>
            <w:right w:val="none" w:sz="0" w:space="0" w:color="auto"/>
          </w:divBdr>
          <w:divsChild>
            <w:div w:id="777719277">
              <w:marLeft w:val="0"/>
              <w:marRight w:val="0"/>
              <w:marTop w:val="0"/>
              <w:marBottom w:val="0"/>
              <w:divBdr>
                <w:top w:val="none" w:sz="0" w:space="0" w:color="auto"/>
                <w:left w:val="none" w:sz="0" w:space="0" w:color="auto"/>
                <w:bottom w:val="none" w:sz="0" w:space="0" w:color="auto"/>
                <w:right w:val="none" w:sz="0" w:space="0" w:color="auto"/>
              </w:divBdr>
              <w:divsChild>
                <w:div w:id="459687802">
                  <w:marLeft w:val="0"/>
                  <w:marRight w:val="0"/>
                  <w:marTop w:val="0"/>
                  <w:marBottom w:val="0"/>
                  <w:divBdr>
                    <w:top w:val="none" w:sz="0" w:space="0" w:color="auto"/>
                    <w:left w:val="none" w:sz="0" w:space="0" w:color="auto"/>
                    <w:bottom w:val="none" w:sz="0" w:space="0" w:color="auto"/>
                    <w:right w:val="none" w:sz="0" w:space="0" w:color="auto"/>
                  </w:divBdr>
                  <w:divsChild>
                    <w:div w:id="1268655214">
                      <w:marLeft w:val="0"/>
                      <w:marRight w:val="0"/>
                      <w:marTop w:val="0"/>
                      <w:marBottom w:val="0"/>
                      <w:divBdr>
                        <w:top w:val="none" w:sz="0" w:space="0" w:color="auto"/>
                        <w:left w:val="none" w:sz="0" w:space="0" w:color="auto"/>
                        <w:bottom w:val="none" w:sz="0" w:space="0" w:color="auto"/>
                        <w:right w:val="none" w:sz="0" w:space="0" w:color="auto"/>
                      </w:divBdr>
                      <w:divsChild>
                        <w:div w:id="143359047">
                          <w:marLeft w:val="0"/>
                          <w:marRight w:val="0"/>
                          <w:marTop w:val="0"/>
                          <w:marBottom w:val="360"/>
                          <w:divBdr>
                            <w:top w:val="none" w:sz="0" w:space="0" w:color="auto"/>
                            <w:left w:val="none" w:sz="0" w:space="0" w:color="auto"/>
                            <w:bottom w:val="none" w:sz="0" w:space="0" w:color="auto"/>
                            <w:right w:val="none" w:sz="0" w:space="0" w:color="auto"/>
                          </w:divBdr>
                          <w:divsChild>
                            <w:div w:id="1114834552">
                              <w:marLeft w:val="0"/>
                              <w:marRight w:val="120"/>
                              <w:marTop w:val="0"/>
                              <w:marBottom w:val="120"/>
                              <w:divBdr>
                                <w:top w:val="single" w:sz="6" w:space="5" w:color="747775"/>
                                <w:left w:val="single" w:sz="6" w:space="12" w:color="747775"/>
                                <w:bottom w:val="single" w:sz="6" w:space="5" w:color="747775"/>
                                <w:right w:val="single" w:sz="6" w:space="12" w:color="747775"/>
                              </w:divBdr>
                            </w:div>
                            <w:div w:id="938297315">
                              <w:marLeft w:val="0"/>
                              <w:marRight w:val="120"/>
                              <w:marTop w:val="0"/>
                              <w:marBottom w:val="120"/>
                              <w:divBdr>
                                <w:top w:val="single" w:sz="6" w:space="5" w:color="747775"/>
                                <w:left w:val="single" w:sz="6" w:space="12" w:color="747775"/>
                                <w:bottom w:val="single" w:sz="6" w:space="5" w:color="747775"/>
                                <w:right w:val="single" w:sz="6" w:space="12" w:color="747775"/>
                              </w:divBdr>
                            </w:div>
                            <w:div w:id="1719935108">
                              <w:marLeft w:val="0"/>
                              <w:marRight w:val="120"/>
                              <w:marTop w:val="0"/>
                              <w:marBottom w:val="120"/>
                              <w:divBdr>
                                <w:top w:val="single" w:sz="6" w:space="5" w:color="747775"/>
                                <w:left w:val="single" w:sz="6" w:space="12" w:color="747775"/>
                                <w:bottom w:val="single" w:sz="6" w:space="5" w:color="747775"/>
                                <w:right w:val="single" w:sz="6" w:space="12" w:color="747775"/>
                              </w:divBdr>
                            </w:div>
                          </w:divsChild>
                        </w:div>
                        <w:div w:id="1553541281">
                          <w:marLeft w:val="0"/>
                          <w:marRight w:val="0"/>
                          <w:marTop w:val="0"/>
                          <w:marBottom w:val="0"/>
                          <w:divBdr>
                            <w:top w:val="none" w:sz="0" w:space="0" w:color="auto"/>
                            <w:left w:val="none" w:sz="0" w:space="0" w:color="auto"/>
                            <w:bottom w:val="none" w:sz="0" w:space="0" w:color="auto"/>
                            <w:right w:val="none" w:sz="0" w:space="0" w:color="auto"/>
                          </w:divBdr>
                          <w:divsChild>
                            <w:div w:id="15767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02462">
      <w:bodyDiv w:val="1"/>
      <w:marLeft w:val="0"/>
      <w:marRight w:val="0"/>
      <w:marTop w:val="0"/>
      <w:marBottom w:val="0"/>
      <w:divBdr>
        <w:top w:val="none" w:sz="0" w:space="0" w:color="auto"/>
        <w:left w:val="none" w:sz="0" w:space="0" w:color="auto"/>
        <w:bottom w:val="none" w:sz="0" w:space="0" w:color="auto"/>
        <w:right w:val="none" w:sz="0" w:space="0" w:color="auto"/>
      </w:divBdr>
    </w:div>
    <w:div w:id="1392651992">
      <w:bodyDiv w:val="1"/>
      <w:marLeft w:val="0"/>
      <w:marRight w:val="0"/>
      <w:marTop w:val="0"/>
      <w:marBottom w:val="0"/>
      <w:divBdr>
        <w:top w:val="none" w:sz="0" w:space="0" w:color="auto"/>
        <w:left w:val="none" w:sz="0" w:space="0" w:color="auto"/>
        <w:bottom w:val="none" w:sz="0" w:space="0" w:color="auto"/>
        <w:right w:val="none" w:sz="0" w:space="0" w:color="auto"/>
      </w:divBdr>
    </w:div>
    <w:div w:id="1393431573">
      <w:bodyDiv w:val="1"/>
      <w:marLeft w:val="0"/>
      <w:marRight w:val="0"/>
      <w:marTop w:val="0"/>
      <w:marBottom w:val="0"/>
      <w:divBdr>
        <w:top w:val="none" w:sz="0" w:space="0" w:color="auto"/>
        <w:left w:val="none" w:sz="0" w:space="0" w:color="auto"/>
        <w:bottom w:val="none" w:sz="0" w:space="0" w:color="auto"/>
        <w:right w:val="none" w:sz="0" w:space="0" w:color="auto"/>
      </w:divBdr>
    </w:div>
    <w:div w:id="1396665814">
      <w:bodyDiv w:val="1"/>
      <w:marLeft w:val="0"/>
      <w:marRight w:val="0"/>
      <w:marTop w:val="0"/>
      <w:marBottom w:val="0"/>
      <w:divBdr>
        <w:top w:val="none" w:sz="0" w:space="0" w:color="auto"/>
        <w:left w:val="none" w:sz="0" w:space="0" w:color="auto"/>
        <w:bottom w:val="none" w:sz="0" w:space="0" w:color="auto"/>
        <w:right w:val="none" w:sz="0" w:space="0" w:color="auto"/>
      </w:divBdr>
    </w:div>
    <w:div w:id="1409158281">
      <w:bodyDiv w:val="1"/>
      <w:marLeft w:val="0"/>
      <w:marRight w:val="0"/>
      <w:marTop w:val="0"/>
      <w:marBottom w:val="0"/>
      <w:divBdr>
        <w:top w:val="none" w:sz="0" w:space="0" w:color="auto"/>
        <w:left w:val="none" w:sz="0" w:space="0" w:color="auto"/>
        <w:bottom w:val="none" w:sz="0" w:space="0" w:color="auto"/>
        <w:right w:val="none" w:sz="0" w:space="0" w:color="auto"/>
      </w:divBdr>
    </w:div>
    <w:div w:id="1418207003">
      <w:bodyDiv w:val="1"/>
      <w:marLeft w:val="0"/>
      <w:marRight w:val="0"/>
      <w:marTop w:val="0"/>
      <w:marBottom w:val="0"/>
      <w:divBdr>
        <w:top w:val="none" w:sz="0" w:space="0" w:color="auto"/>
        <w:left w:val="none" w:sz="0" w:space="0" w:color="auto"/>
        <w:bottom w:val="none" w:sz="0" w:space="0" w:color="auto"/>
        <w:right w:val="none" w:sz="0" w:space="0" w:color="auto"/>
      </w:divBdr>
    </w:div>
    <w:div w:id="1419987733">
      <w:bodyDiv w:val="1"/>
      <w:marLeft w:val="0"/>
      <w:marRight w:val="0"/>
      <w:marTop w:val="0"/>
      <w:marBottom w:val="0"/>
      <w:divBdr>
        <w:top w:val="none" w:sz="0" w:space="0" w:color="auto"/>
        <w:left w:val="none" w:sz="0" w:space="0" w:color="auto"/>
        <w:bottom w:val="none" w:sz="0" w:space="0" w:color="auto"/>
        <w:right w:val="none" w:sz="0" w:space="0" w:color="auto"/>
      </w:divBdr>
    </w:div>
    <w:div w:id="1421104365">
      <w:bodyDiv w:val="1"/>
      <w:marLeft w:val="0"/>
      <w:marRight w:val="0"/>
      <w:marTop w:val="0"/>
      <w:marBottom w:val="0"/>
      <w:divBdr>
        <w:top w:val="none" w:sz="0" w:space="0" w:color="auto"/>
        <w:left w:val="none" w:sz="0" w:space="0" w:color="auto"/>
        <w:bottom w:val="none" w:sz="0" w:space="0" w:color="auto"/>
        <w:right w:val="none" w:sz="0" w:space="0" w:color="auto"/>
      </w:divBdr>
    </w:div>
    <w:div w:id="1437167747">
      <w:bodyDiv w:val="1"/>
      <w:marLeft w:val="0"/>
      <w:marRight w:val="0"/>
      <w:marTop w:val="0"/>
      <w:marBottom w:val="0"/>
      <w:divBdr>
        <w:top w:val="none" w:sz="0" w:space="0" w:color="auto"/>
        <w:left w:val="none" w:sz="0" w:space="0" w:color="auto"/>
        <w:bottom w:val="none" w:sz="0" w:space="0" w:color="auto"/>
        <w:right w:val="none" w:sz="0" w:space="0" w:color="auto"/>
      </w:divBdr>
    </w:div>
    <w:div w:id="1440952816">
      <w:bodyDiv w:val="1"/>
      <w:marLeft w:val="0"/>
      <w:marRight w:val="0"/>
      <w:marTop w:val="0"/>
      <w:marBottom w:val="0"/>
      <w:divBdr>
        <w:top w:val="none" w:sz="0" w:space="0" w:color="auto"/>
        <w:left w:val="none" w:sz="0" w:space="0" w:color="auto"/>
        <w:bottom w:val="none" w:sz="0" w:space="0" w:color="auto"/>
        <w:right w:val="none" w:sz="0" w:space="0" w:color="auto"/>
      </w:divBdr>
    </w:div>
    <w:div w:id="1460107403">
      <w:bodyDiv w:val="1"/>
      <w:marLeft w:val="0"/>
      <w:marRight w:val="0"/>
      <w:marTop w:val="0"/>
      <w:marBottom w:val="0"/>
      <w:divBdr>
        <w:top w:val="none" w:sz="0" w:space="0" w:color="auto"/>
        <w:left w:val="none" w:sz="0" w:space="0" w:color="auto"/>
        <w:bottom w:val="none" w:sz="0" w:space="0" w:color="auto"/>
        <w:right w:val="none" w:sz="0" w:space="0" w:color="auto"/>
      </w:divBdr>
      <w:divsChild>
        <w:div w:id="1538621072">
          <w:marLeft w:val="0"/>
          <w:marRight w:val="0"/>
          <w:marTop w:val="0"/>
          <w:marBottom w:val="0"/>
          <w:divBdr>
            <w:top w:val="none" w:sz="0" w:space="0" w:color="auto"/>
            <w:left w:val="none" w:sz="0" w:space="0" w:color="auto"/>
            <w:bottom w:val="none" w:sz="0" w:space="0" w:color="auto"/>
            <w:right w:val="none" w:sz="0" w:space="0" w:color="auto"/>
          </w:divBdr>
          <w:divsChild>
            <w:div w:id="1517381852">
              <w:marLeft w:val="0"/>
              <w:marRight w:val="0"/>
              <w:marTop w:val="0"/>
              <w:marBottom w:val="0"/>
              <w:divBdr>
                <w:top w:val="none" w:sz="0" w:space="0" w:color="auto"/>
                <w:left w:val="none" w:sz="0" w:space="0" w:color="auto"/>
                <w:bottom w:val="none" w:sz="0" w:space="0" w:color="auto"/>
                <w:right w:val="none" w:sz="0" w:space="0" w:color="auto"/>
              </w:divBdr>
              <w:divsChild>
                <w:div w:id="1587424128">
                  <w:marLeft w:val="0"/>
                  <w:marRight w:val="0"/>
                  <w:marTop w:val="0"/>
                  <w:marBottom w:val="0"/>
                  <w:divBdr>
                    <w:top w:val="none" w:sz="0" w:space="0" w:color="auto"/>
                    <w:left w:val="none" w:sz="0" w:space="0" w:color="auto"/>
                    <w:bottom w:val="none" w:sz="0" w:space="0" w:color="auto"/>
                    <w:right w:val="none" w:sz="0" w:space="0" w:color="auto"/>
                  </w:divBdr>
                  <w:divsChild>
                    <w:div w:id="1067415876">
                      <w:marLeft w:val="0"/>
                      <w:marRight w:val="0"/>
                      <w:marTop w:val="0"/>
                      <w:marBottom w:val="0"/>
                      <w:divBdr>
                        <w:top w:val="none" w:sz="0" w:space="0" w:color="auto"/>
                        <w:left w:val="none" w:sz="0" w:space="0" w:color="auto"/>
                        <w:bottom w:val="none" w:sz="0" w:space="0" w:color="auto"/>
                        <w:right w:val="none" w:sz="0" w:space="0" w:color="auto"/>
                      </w:divBdr>
                      <w:divsChild>
                        <w:div w:id="1332829012">
                          <w:marLeft w:val="0"/>
                          <w:marRight w:val="0"/>
                          <w:marTop w:val="0"/>
                          <w:marBottom w:val="0"/>
                          <w:divBdr>
                            <w:top w:val="none" w:sz="0" w:space="0" w:color="auto"/>
                            <w:left w:val="none" w:sz="0" w:space="0" w:color="auto"/>
                            <w:bottom w:val="none" w:sz="0" w:space="0" w:color="auto"/>
                            <w:right w:val="none" w:sz="0" w:space="0" w:color="auto"/>
                          </w:divBdr>
                          <w:divsChild>
                            <w:div w:id="2092048128">
                              <w:marLeft w:val="0"/>
                              <w:marRight w:val="0"/>
                              <w:marTop w:val="0"/>
                              <w:marBottom w:val="0"/>
                              <w:divBdr>
                                <w:top w:val="none" w:sz="0" w:space="0" w:color="auto"/>
                                <w:left w:val="none" w:sz="0" w:space="0" w:color="auto"/>
                                <w:bottom w:val="none" w:sz="0" w:space="0" w:color="auto"/>
                                <w:right w:val="none" w:sz="0" w:space="0" w:color="auto"/>
                              </w:divBdr>
                              <w:divsChild>
                                <w:div w:id="737554992">
                                  <w:marLeft w:val="0"/>
                                  <w:marRight w:val="0"/>
                                  <w:marTop w:val="0"/>
                                  <w:marBottom w:val="0"/>
                                  <w:divBdr>
                                    <w:top w:val="none" w:sz="0" w:space="0" w:color="auto"/>
                                    <w:left w:val="none" w:sz="0" w:space="0" w:color="auto"/>
                                    <w:bottom w:val="none" w:sz="0" w:space="0" w:color="auto"/>
                                    <w:right w:val="none" w:sz="0" w:space="0" w:color="auto"/>
                                  </w:divBdr>
                                  <w:divsChild>
                                    <w:div w:id="2041587322">
                                      <w:marLeft w:val="0"/>
                                      <w:marRight w:val="0"/>
                                      <w:marTop w:val="0"/>
                                      <w:marBottom w:val="0"/>
                                      <w:divBdr>
                                        <w:top w:val="none" w:sz="0" w:space="0" w:color="auto"/>
                                        <w:left w:val="none" w:sz="0" w:space="0" w:color="auto"/>
                                        <w:bottom w:val="none" w:sz="0" w:space="0" w:color="auto"/>
                                        <w:right w:val="none" w:sz="0" w:space="0" w:color="auto"/>
                                      </w:divBdr>
                                      <w:divsChild>
                                        <w:div w:id="12153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5023920">
          <w:marLeft w:val="0"/>
          <w:marRight w:val="0"/>
          <w:marTop w:val="0"/>
          <w:marBottom w:val="0"/>
          <w:divBdr>
            <w:top w:val="none" w:sz="0" w:space="0" w:color="auto"/>
            <w:left w:val="none" w:sz="0" w:space="0" w:color="auto"/>
            <w:bottom w:val="none" w:sz="0" w:space="0" w:color="auto"/>
            <w:right w:val="none" w:sz="0" w:space="0" w:color="auto"/>
          </w:divBdr>
          <w:divsChild>
            <w:div w:id="1971595466">
              <w:marLeft w:val="0"/>
              <w:marRight w:val="0"/>
              <w:marTop w:val="0"/>
              <w:marBottom w:val="0"/>
              <w:divBdr>
                <w:top w:val="none" w:sz="0" w:space="0" w:color="auto"/>
                <w:left w:val="none" w:sz="0" w:space="0" w:color="auto"/>
                <w:bottom w:val="none" w:sz="0" w:space="0" w:color="auto"/>
                <w:right w:val="none" w:sz="0" w:space="0" w:color="auto"/>
              </w:divBdr>
              <w:divsChild>
                <w:div w:id="913659649">
                  <w:marLeft w:val="0"/>
                  <w:marRight w:val="0"/>
                  <w:marTop w:val="0"/>
                  <w:marBottom w:val="0"/>
                  <w:divBdr>
                    <w:top w:val="none" w:sz="0" w:space="0" w:color="auto"/>
                    <w:left w:val="none" w:sz="0" w:space="0" w:color="auto"/>
                    <w:bottom w:val="none" w:sz="0" w:space="0" w:color="auto"/>
                    <w:right w:val="none" w:sz="0" w:space="0" w:color="auto"/>
                  </w:divBdr>
                  <w:divsChild>
                    <w:div w:id="957684066">
                      <w:marLeft w:val="0"/>
                      <w:marRight w:val="0"/>
                      <w:marTop w:val="0"/>
                      <w:marBottom w:val="0"/>
                      <w:divBdr>
                        <w:top w:val="none" w:sz="0" w:space="0" w:color="auto"/>
                        <w:left w:val="none" w:sz="0" w:space="0" w:color="auto"/>
                        <w:bottom w:val="none" w:sz="0" w:space="0" w:color="auto"/>
                        <w:right w:val="none" w:sz="0" w:space="0" w:color="auto"/>
                      </w:divBdr>
                      <w:divsChild>
                        <w:div w:id="1883595764">
                          <w:marLeft w:val="0"/>
                          <w:marRight w:val="0"/>
                          <w:marTop w:val="0"/>
                          <w:marBottom w:val="0"/>
                          <w:divBdr>
                            <w:top w:val="none" w:sz="0" w:space="0" w:color="auto"/>
                            <w:left w:val="none" w:sz="0" w:space="0" w:color="auto"/>
                            <w:bottom w:val="none" w:sz="0" w:space="0" w:color="auto"/>
                            <w:right w:val="none" w:sz="0" w:space="0" w:color="auto"/>
                          </w:divBdr>
                          <w:divsChild>
                            <w:div w:id="42291689">
                              <w:marLeft w:val="0"/>
                              <w:marRight w:val="0"/>
                              <w:marTop w:val="0"/>
                              <w:marBottom w:val="0"/>
                              <w:divBdr>
                                <w:top w:val="none" w:sz="0" w:space="0" w:color="auto"/>
                                <w:left w:val="none" w:sz="0" w:space="0" w:color="auto"/>
                                <w:bottom w:val="none" w:sz="0" w:space="0" w:color="auto"/>
                                <w:right w:val="none" w:sz="0" w:space="0" w:color="auto"/>
                              </w:divBdr>
                              <w:divsChild>
                                <w:div w:id="409666833">
                                  <w:marLeft w:val="0"/>
                                  <w:marRight w:val="0"/>
                                  <w:marTop w:val="0"/>
                                  <w:marBottom w:val="0"/>
                                  <w:divBdr>
                                    <w:top w:val="none" w:sz="0" w:space="0" w:color="auto"/>
                                    <w:left w:val="none" w:sz="0" w:space="0" w:color="auto"/>
                                    <w:bottom w:val="none" w:sz="0" w:space="0" w:color="auto"/>
                                    <w:right w:val="none" w:sz="0" w:space="0" w:color="auto"/>
                                  </w:divBdr>
                                  <w:divsChild>
                                    <w:div w:id="1077094417">
                                      <w:marLeft w:val="0"/>
                                      <w:marRight w:val="0"/>
                                      <w:marTop w:val="0"/>
                                      <w:marBottom w:val="0"/>
                                      <w:divBdr>
                                        <w:top w:val="none" w:sz="0" w:space="0" w:color="auto"/>
                                        <w:left w:val="none" w:sz="0" w:space="0" w:color="auto"/>
                                        <w:bottom w:val="none" w:sz="0" w:space="0" w:color="auto"/>
                                        <w:right w:val="none" w:sz="0" w:space="0" w:color="auto"/>
                                      </w:divBdr>
                                      <w:divsChild>
                                        <w:div w:id="20654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415">
                                  <w:marLeft w:val="0"/>
                                  <w:marRight w:val="0"/>
                                  <w:marTop w:val="0"/>
                                  <w:marBottom w:val="0"/>
                                  <w:divBdr>
                                    <w:top w:val="none" w:sz="0" w:space="0" w:color="auto"/>
                                    <w:left w:val="none" w:sz="0" w:space="0" w:color="auto"/>
                                    <w:bottom w:val="none" w:sz="0" w:space="0" w:color="auto"/>
                                    <w:right w:val="none" w:sz="0" w:space="0" w:color="auto"/>
                                  </w:divBdr>
                                  <w:divsChild>
                                    <w:div w:id="896626315">
                                      <w:marLeft w:val="0"/>
                                      <w:marRight w:val="0"/>
                                      <w:marTop w:val="0"/>
                                      <w:marBottom w:val="0"/>
                                      <w:divBdr>
                                        <w:top w:val="none" w:sz="0" w:space="0" w:color="auto"/>
                                        <w:left w:val="none" w:sz="0" w:space="0" w:color="auto"/>
                                        <w:bottom w:val="none" w:sz="0" w:space="0" w:color="auto"/>
                                        <w:right w:val="none" w:sz="0" w:space="0" w:color="auto"/>
                                      </w:divBdr>
                                      <w:divsChild>
                                        <w:div w:id="977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48826">
                      <w:marLeft w:val="0"/>
                      <w:marRight w:val="0"/>
                      <w:marTop w:val="0"/>
                      <w:marBottom w:val="0"/>
                      <w:divBdr>
                        <w:top w:val="none" w:sz="0" w:space="0" w:color="auto"/>
                        <w:left w:val="none" w:sz="0" w:space="0" w:color="auto"/>
                        <w:bottom w:val="none" w:sz="0" w:space="0" w:color="auto"/>
                        <w:right w:val="none" w:sz="0" w:space="0" w:color="auto"/>
                      </w:divBdr>
                      <w:divsChild>
                        <w:div w:id="1225527601">
                          <w:marLeft w:val="0"/>
                          <w:marRight w:val="0"/>
                          <w:marTop w:val="0"/>
                          <w:marBottom w:val="0"/>
                          <w:divBdr>
                            <w:top w:val="none" w:sz="0" w:space="0" w:color="auto"/>
                            <w:left w:val="none" w:sz="0" w:space="0" w:color="auto"/>
                            <w:bottom w:val="none" w:sz="0" w:space="0" w:color="auto"/>
                            <w:right w:val="none" w:sz="0" w:space="0" w:color="auto"/>
                          </w:divBdr>
                          <w:divsChild>
                            <w:div w:id="593131257">
                              <w:marLeft w:val="0"/>
                              <w:marRight w:val="0"/>
                              <w:marTop w:val="0"/>
                              <w:marBottom w:val="0"/>
                              <w:divBdr>
                                <w:top w:val="none" w:sz="0" w:space="0" w:color="auto"/>
                                <w:left w:val="none" w:sz="0" w:space="0" w:color="auto"/>
                                <w:bottom w:val="none" w:sz="0" w:space="0" w:color="auto"/>
                                <w:right w:val="none" w:sz="0" w:space="0" w:color="auto"/>
                              </w:divBdr>
                              <w:divsChild>
                                <w:div w:id="1132096585">
                                  <w:marLeft w:val="0"/>
                                  <w:marRight w:val="0"/>
                                  <w:marTop w:val="0"/>
                                  <w:marBottom w:val="0"/>
                                  <w:divBdr>
                                    <w:top w:val="none" w:sz="0" w:space="0" w:color="auto"/>
                                    <w:left w:val="none" w:sz="0" w:space="0" w:color="auto"/>
                                    <w:bottom w:val="none" w:sz="0" w:space="0" w:color="auto"/>
                                    <w:right w:val="none" w:sz="0" w:space="0" w:color="auto"/>
                                  </w:divBdr>
                                  <w:divsChild>
                                    <w:div w:id="589775735">
                                      <w:marLeft w:val="0"/>
                                      <w:marRight w:val="0"/>
                                      <w:marTop w:val="0"/>
                                      <w:marBottom w:val="0"/>
                                      <w:divBdr>
                                        <w:top w:val="none" w:sz="0" w:space="0" w:color="auto"/>
                                        <w:left w:val="none" w:sz="0" w:space="0" w:color="auto"/>
                                        <w:bottom w:val="none" w:sz="0" w:space="0" w:color="auto"/>
                                        <w:right w:val="none" w:sz="0" w:space="0" w:color="auto"/>
                                      </w:divBdr>
                                      <w:divsChild>
                                        <w:div w:id="4573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76">
                                  <w:marLeft w:val="0"/>
                                  <w:marRight w:val="0"/>
                                  <w:marTop w:val="0"/>
                                  <w:marBottom w:val="0"/>
                                  <w:divBdr>
                                    <w:top w:val="none" w:sz="0" w:space="0" w:color="auto"/>
                                    <w:left w:val="none" w:sz="0" w:space="0" w:color="auto"/>
                                    <w:bottom w:val="none" w:sz="0" w:space="0" w:color="auto"/>
                                    <w:right w:val="none" w:sz="0" w:space="0" w:color="auto"/>
                                  </w:divBdr>
                                  <w:divsChild>
                                    <w:div w:id="1316684713">
                                      <w:marLeft w:val="0"/>
                                      <w:marRight w:val="0"/>
                                      <w:marTop w:val="0"/>
                                      <w:marBottom w:val="0"/>
                                      <w:divBdr>
                                        <w:top w:val="none" w:sz="0" w:space="0" w:color="auto"/>
                                        <w:left w:val="none" w:sz="0" w:space="0" w:color="auto"/>
                                        <w:bottom w:val="none" w:sz="0" w:space="0" w:color="auto"/>
                                        <w:right w:val="none" w:sz="0" w:space="0" w:color="auto"/>
                                      </w:divBdr>
                                      <w:divsChild>
                                        <w:div w:id="379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45542">
          <w:marLeft w:val="0"/>
          <w:marRight w:val="0"/>
          <w:marTop w:val="0"/>
          <w:marBottom w:val="0"/>
          <w:divBdr>
            <w:top w:val="none" w:sz="0" w:space="0" w:color="auto"/>
            <w:left w:val="none" w:sz="0" w:space="0" w:color="auto"/>
            <w:bottom w:val="none" w:sz="0" w:space="0" w:color="auto"/>
            <w:right w:val="none" w:sz="0" w:space="0" w:color="auto"/>
          </w:divBdr>
          <w:divsChild>
            <w:div w:id="177163676">
              <w:marLeft w:val="0"/>
              <w:marRight w:val="0"/>
              <w:marTop w:val="0"/>
              <w:marBottom w:val="0"/>
              <w:divBdr>
                <w:top w:val="none" w:sz="0" w:space="0" w:color="auto"/>
                <w:left w:val="none" w:sz="0" w:space="0" w:color="auto"/>
                <w:bottom w:val="none" w:sz="0" w:space="0" w:color="auto"/>
                <w:right w:val="none" w:sz="0" w:space="0" w:color="auto"/>
              </w:divBdr>
              <w:divsChild>
                <w:div w:id="1122916428">
                  <w:marLeft w:val="0"/>
                  <w:marRight w:val="0"/>
                  <w:marTop w:val="0"/>
                  <w:marBottom w:val="0"/>
                  <w:divBdr>
                    <w:top w:val="none" w:sz="0" w:space="0" w:color="auto"/>
                    <w:left w:val="none" w:sz="0" w:space="0" w:color="auto"/>
                    <w:bottom w:val="none" w:sz="0" w:space="0" w:color="auto"/>
                    <w:right w:val="none" w:sz="0" w:space="0" w:color="auto"/>
                  </w:divBdr>
                  <w:divsChild>
                    <w:div w:id="2058507842">
                      <w:marLeft w:val="0"/>
                      <w:marRight w:val="0"/>
                      <w:marTop w:val="0"/>
                      <w:marBottom w:val="0"/>
                      <w:divBdr>
                        <w:top w:val="none" w:sz="0" w:space="0" w:color="auto"/>
                        <w:left w:val="none" w:sz="0" w:space="0" w:color="auto"/>
                        <w:bottom w:val="none" w:sz="0" w:space="0" w:color="auto"/>
                        <w:right w:val="none" w:sz="0" w:space="0" w:color="auto"/>
                      </w:divBdr>
                      <w:divsChild>
                        <w:div w:id="1333529590">
                          <w:marLeft w:val="0"/>
                          <w:marRight w:val="0"/>
                          <w:marTop w:val="0"/>
                          <w:marBottom w:val="0"/>
                          <w:divBdr>
                            <w:top w:val="none" w:sz="0" w:space="0" w:color="auto"/>
                            <w:left w:val="none" w:sz="0" w:space="0" w:color="auto"/>
                            <w:bottom w:val="none" w:sz="0" w:space="0" w:color="auto"/>
                            <w:right w:val="none" w:sz="0" w:space="0" w:color="auto"/>
                          </w:divBdr>
                          <w:divsChild>
                            <w:div w:id="546265053">
                              <w:marLeft w:val="0"/>
                              <w:marRight w:val="0"/>
                              <w:marTop w:val="0"/>
                              <w:marBottom w:val="0"/>
                              <w:divBdr>
                                <w:top w:val="none" w:sz="0" w:space="0" w:color="auto"/>
                                <w:left w:val="none" w:sz="0" w:space="0" w:color="auto"/>
                                <w:bottom w:val="none" w:sz="0" w:space="0" w:color="auto"/>
                                <w:right w:val="none" w:sz="0" w:space="0" w:color="auto"/>
                              </w:divBdr>
                              <w:divsChild>
                                <w:div w:id="215244394">
                                  <w:marLeft w:val="0"/>
                                  <w:marRight w:val="0"/>
                                  <w:marTop w:val="0"/>
                                  <w:marBottom w:val="0"/>
                                  <w:divBdr>
                                    <w:top w:val="none" w:sz="0" w:space="0" w:color="auto"/>
                                    <w:left w:val="none" w:sz="0" w:space="0" w:color="auto"/>
                                    <w:bottom w:val="none" w:sz="0" w:space="0" w:color="auto"/>
                                    <w:right w:val="none" w:sz="0" w:space="0" w:color="auto"/>
                                  </w:divBdr>
                                  <w:divsChild>
                                    <w:div w:id="750781187">
                                      <w:marLeft w:val="0"/>
                                      <w:marRight w:val="0"/>
                                      <w:marTop w:val="0"/>
                                      <w:marBottom w:val="0"/>
                                      <w:divBdr>
                                        <w:top w:val="none" w:sz="0" w:space="0" w:color="auto"/>
                                        <w:left w:val="none" w:sz="0" w:space="0" w:color="auto"/>
                                        <w:bottom w:val="none" w:sz="0" w:space="0" w:color="auto"/>
                                        <w:right w:val="none" w:sz="0" w:space="0" w:color="auto"/>
                                      </w:divBdr>
                                      <w:divsChild>
                                        <w:div w:id="13539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3305">
                                  <w:marLeft w:val="0"/>
                                  <w:marRight w:val="0"/>
                                  <w:marTop w:val="0"/>
                                  <w:marBottom w:val="0"/>
                                  <w:divBdr>
                                    <w:top w:val="none" w:sz="0" w:space="0" w:color="auto"/>
                                    <w:left w:val="none" w:sz="0" w:space="0" w:color="auto"/>
                                    <w:bottom w:val="none" w:sz="0" w:space="0" w:color="auto"/>
                                    <w:right w:val="none" w:sz="0" w:space="0" w:color="auto"/>
                                  </w:divBdr>
                                  <w:divsChild>
                                    <w:div w:id="29576736">
                                      <w:marLeft w:val="0"/>
                                      <w:marRight w:val="0"/>
                                      <w:marTop w:val="0"/>
                                      <w:marBottom w:val="0"/>
                                      <w:divBdr>
                                        <w:top w:val="none" w:sz="0" w:space="0" w:color="auto"/>
                                        <w:left w:val="none" w:sz="0" w:space="0" w:color="auto"/>
                                        <w:bottom w:val="none" w:sz="0" w:space="0" w:color="auto"/>
                                        <w:right w:val="none" w:sz="0" w:space="0" w:color="auto"/>
                                      </w:divBdr>
                                      <w:divsChild>
                                        <w:div w:id="17234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069517">
      <w:bodyDiv w:val="1"/>
      <w:marLeft w:val="0"/>
      <w:marRight w:val="0"/>
      <w:marTop w:val="0"/>
      <w:marBottom w:val="0"/>
      <w:divBdr>
        <w:top w:val="none" w:sz="0" w:space="0" w:color="auto"/>
        <w:left w:val="none" w:sz="0" w:space="0" w:color="auto"/>
        <w:bottom w:val="none" w:sz="0" w:space="0" w:color="auto"/>
        <w:right w:val="none" w:sz="0" w:space="0" w:color="auto"/>
      </w:divBdr>
    </w:div>
    <w:div w:id="1467967495">
      <w:bodyDiv w:val="1"/>
      <w:marLeft w:val="0"/>
      <w:marRight w:val="0"/>
      <w:marTop w:val="0"/>
      <w:marBottom w:val="0"/>
      <w:divBdr>
        <w:top w:val="none" w:sz="0" w:space="0" w:color="auto"/>
        <w:left w:val="none" w:sz="0" w:space="0" w:color="auto"/>
        <w:bottom w:val="none" w:sz="0" w:space="0" w:color="auto"/>
        <w:right w:val="none" w:sz="0" w:space="0" w:color="auto"/>
      </w:divBdr>
    </w:div>
    <w:div w:id="1486510670">
      <w:bodyDiv w:val="1"/>
      <w:marLeft w:val="0"/>
      <w:marRight w:val="0"/>
      <w:marTop w:val="0"/>
      <w:marBottom w:val="0"/>
      <w:divBdr>
        <w:top w:val="none" w:sz="0" w:space="0" w:color="auto"/>
        <w:left w:val="none" w:sz="0" w:space="0" w:color="auto"/>
        <w:bottom w:val="none" w:sz="0" w:space="0" w:color="auto"/>
        <w:right w:val="none" w:sz="0" w:space="0" w:color="auto"/>
      </w:divBdr>
    </w:div>
    <w:div w:id="1492213157">
      <w:bodyDiv w:val="1"/>
      <w:marLeft w:val="0"/>
      <w:marRight w:val="0"/>
      <w:marTop w:val="0"/>
      <w:marBottom w:val="0"/>
      <w:divBdr>
        <w:top w:val="none" w:sz="0" w:space="0" w:color="auto"/>
        <w:left w:val="none" w:sz="0" w:space="0" w:color="auto"/>
        <w:bottom w:val="none" w:sz="0" w:space="0" w:color="auto"/>
        <w:right w:val="none" w:sz="0" w:space="0" w:color="auto"/>
      </w:divBdr>
    </w:div>
    <w:div w:id="1497262796">
      <w:bodyDiv w:val="1"/>
      <w:marLeft w:val="0"/>
      <w:marRight w:val="0"/>
      <w:marTop w:val="0"/>
      <w:marBottom w:val="0"/>
      <w:divBdr>
        <w:top w:val="none" w:sz="0" w:space="0" w:color="auto"/>
        <w:left w:val="none" w:sz="0" w:space="0" w:color="auto"/>
        <w:bottom w:val="none" w:sz="0" w:space="0" w:color="auto"/>
        <w:right w:val="none" w:sz="0" w:space="0" w:color="auto"/>
      </w:divBdr>
    </w:div>
    <w:div w:id="1500467082">
      <w:bodyDiv w:val="1"/>
      <w:marLeft w:val="0"/>
      <w:marRight w:val="0"/>
      <w:marTop w:val="0"/>
      <w:marBottom w:val="0"/>
      <w:divBdr>
        <w:top w:val="none" w:sz="0" w:space="0" w:color="auto"/>
        <w:left w:val="none" w:sz="0" w:space="0" w:color="auto"/>
        <w:bottom w:val="none" w:sz="0" w:space="0" w:color="auto"/>
        <w:right w:val="none" w:sz="0" w:space="0" w:color="auto"/>
      </w:divBdr>
    </w:div>
    <w:div w:id="1520311651">
      <w:bodyDiv w:val="1"/>
      <w:marLeft w:val="0"/>
      <w:marRight w:val="0"/>
      <w:marTop w:val="0"/>
      <w:marBottom w:val="0"/>
      <w:divBdr>
        <w:top w:val="none" w:sz="0" w:space="0" w:color="auto"/>
        <w:left w:val="none" w:sz="0" w:space="0" w:color="auto"/>
        <w:bottom w:val="none" w:sz="0" w:space="0" w:color="auto"/>
        <w:right w:val="none" w:sz="0" w:space="0" w:color="auto"/>
      </w:divBdr>
    </w:div>
    <w:div w:id="1540509321">
      <w:bodyDiv w:val="1"/>
      <w:marLeft w:val="0"/>
      <w:marRight w:val="0"/>
      <w:marTop w:val="0"/>
      <w:marBottom w:val="0"/>
      <w:divBdr>
        <w:top w:val="none" w:sz="0" w:space="0" w:color="auto"/>
        <w:left w:val="none" w:sz="0" w:space="0" w:color="auto"/>
        <w:bottom w:val="none" w:sz="0" w:space="0" w:color="auto"/>
        <w:right w:val="none" w:sz="0" w:space="0" w:color="auto"/>
      </w:divBdr>
    </w:div>
    <w:div w:id="1542745636">
      <w:bodyDiv w:val="1"/>
      <w:marLeft w:val="0"/>
      <w:marRight w:val="0"/>
      <w:marTop w:val="0"/>
      <w:marBottom w:val="0"/>
      <w:divBdr>
        <w:top w:val="none" w:sz="0" w:space="0" w:color="auto"/>
        <w:left w:val="none" w:sz="0" w:space="0" w:color="auto"/>
        <w:bottom w:val="none" w:sz="0" w:space="0" w:color="auto"/>
        <w:right w:val="none" w:sz="0" w:space="0" w:color="auto"/>
      </w:divBdr>
      <w:divsChild>
        <w:div w:id="1389108922">
          <w:marLeft w:val="0"/>
          <w:marRight w:val="0"/>
          <w:marTop w:val="0"/>
          <w:marBottom w:val="0"/>
          <w:divBdr>
            <w:top w:val="none" w:sz="0" w:space="0" w:color="auto"/>
            <w:left w:val="none" w:sz="0" w:space="0" w:color="auto"/>
            <w:bottom w:val="none" w:sz="0" w:space="0" w:color="auto"/>
            <w:right w:val="none" w:sz="0" w:space="0" w:color="auto"/>
          </w:divBdr>
        </w:div>
      </w:divsChild>
    </w:div>
    <w:div w:id="1543782167">
      <w:bodyDiv w:val="1"/>
      <w:marLeft w:val="0"/>
      <w:marRight w:val="0"/>
      <w:marTop w:val="0"/>
      <w:marBottom w:val="0"/>
      <w:divBdr>
        <w:top w:val="none" w:sz="0" w:space="0" w:color="auto"/>
        <w:left w:val="none" w:sz="0" w:space="0" w:color="auto"/>
        <w:bottom w:val="none" w:sz="0" w:space="0" w:color="auto"/>
        <w:right w:val="none" w:sz="0" w:space="0" w:color="auto"/>
      </w:divBdr>
    </w:div>
    <w:div w:id="1546336908">
      <w:bodyDiv w:val="1"/>
      <w:marLeft w:val="0"/>
      <w:marRight w:val="0"/>
      <w:marTop w:val="0"/>
      <w:marBottom w:val="0"/>
      <w:divBdr>
        <w:top w:val="none" w:sz="0" w:space="0" w:color="auto"/>
        <w:left w:val="none" w:sz="0" w:space="0" w:color="auto"/>
        <w:bottom w:val="none" w:sz="0" w:space="0" w:color="auto"/>
        <w:right w:val="none" w:sz="0" w:space="0" w:color="auto"/>
      </w:divBdr>
    </w:div>
    <w:div w:id="1564296285">
      <w:bodyDiv w:val="1"/>
      <w:marLeft w:val="0"/>
      <w:marRight w:val="0"/>
      <w:marTop w:val="0"/>
      <w:marBottom w:val="0"/>
      <w:divBdr>
        <w:top w:val="none" w:sz="0" w:space="0" w:color="auto"/>
        <w:left w:val="none" w:sz="0" w:space="0" w:color="auto"/>
        <w:bottom w:val="none" w:sz="0" w:space="0" w:color="auto"/>
        <w:right w:val="none" w:sz="0" w:space="0" w:color="auto"/>
      </w:divBdr>
    </w:div>
    <w:div w:id="1570386541">
      <w:bodyDiv w:val="1"/>
      <w:marLeft w:val="0"/>
      <w:marRight w:val="0"/>
      <w:marTop w:val="0"/>
      <w:marBottom w:val="0"/>
      <w:divBdr>
        <w:top w:val="none" w:sz="0" w:space="0" w:color="auto"/>
        <w:left w:val="none" w:sz="0" w:space="0" w:color="auto"/>
        <w:bottom w:val="none" w:sz="0" w:space="0" w:color="auto"/>
        <w:right w:val="none" w:sz="0" w:space="0" w:color="auto"/>
      </w:divBdr>
    </w:div>
    <w:div w:id="1600408241">
      <w:bodyDiv w:val="1"/>
      <w:marLeft w:val="0"/>
      <w:marRight w:val="0"/>
      <w:marTop w:val="0"/>
      <w:marBottom w:val="0"/>
      <w:divBdr>
        <w:top w:val="none" w:sz="0" w:space="0" w:color="auto"/>
        <w:left w:val="none" w:sz="0" w:space="0" w:color="auto"/>
        <w:bottom w:val="none" w:sz="0" w:space="0" w:color="auto"/>
        <w:right w:val="none" w:sz="0" w:space="0" w:color="auto"/>
      </w:divBdr>
    </w:div>
    <w:div w:id="1619142990">
      <w:bodyDiv w:val="1"/>
      <w:marLeft w:val="0"/>
      <w:marRight w:val="0"/>
      <w:marTop w:val="0"/>
      <w:marBottom w:val="0"/>
      <w:divBdr>
        <w:top w:val="none" w:sz="0" w:space="0" w:color="auto"/>
        <w:left w:val="none" w:sz="0" w:space="0" w:color="auto"/>
        <w:bottom w:val="none" w:sz="0" w:space="0" w:color="auto"/>
        <w:right w:val="none" w:sz="0" w:space="0" w:color="auto"/>
      </w:divBdr>
    </w:div>
    <w:div w:id="1636642024">
      <w:bodyDiv w:val="1"/>
      <w:marLeft w:val="0"/>
      <w:marRight w:val="0"/>
      <w:marTop w:val="0"/>
      <w:marBottom w:val="0"/>
      <w:divBdr>
        <w:top w:val="none" w:sz="0" w:space="0" w:color="auto"/>
        <w:left w:val="none" w:sz="0" w:space="0" w:color="auto"/>
        <w:bottom w:val="none" w:sz="0" w:space="0" w:color="auto"/>
        <w:right w:val="none" w:sz="0" w:space="0" w:color="auto"/>
      </w:divBdr>
    </w:div>
    <w:div w:id="1649436055">
      <w:bodyDiv w:val="1"/>
      <w:marLeft w:val="0"/>
      <w:marRight w:val="0"/>
      <w:marTop w:val="0"/>
      <w:marBottom w:val="0"/>
      <w:divBdr>
        <w:top w:val="none" w:sz="0" w:space="0" w:color="auto"/>
        <w:left w:val="none" w:sz="0" w:space="0" w:color="auto"/>
        <w:bottom w:val="none" w:sz="0" w:space="0" w:color="auto"/>
        <w:right w:val="none" w:sz="0" w:space="0" w:color="auto"/>
      </w:divBdr>
      <w:divsChild>
        <w:div w:id="602107604">
          <w:marLeft w:val="0"/>
          <w:marRight w:val="0"/>
          <w:marTop w:val="0"/>
          <w:marBottom w:val="0"/>
          <w:divBdr>
            <w:top w:val="none" w:sz="0" w:space="0" w:color="auto"/>
            <w:left w:val="none" w:sz="0" w:space="0" w:color="auto"/>
            <w:bottom w:val="none" w:sz="0" w:space="0" w:color="auto"/>
            <w:right w:val="none" w:sz="0" w:space="0" w:color="auto"/>
          </w:divBdr>
        </w:div>
      </w:divsChild>
    </w:div>
    <w:div w:id="1659189342">
      <w:bodyDiv w:val="1"/>
      <w:marLeft w:val="0"/>
      <w:marRight w:val="0"/>
      <w:marTop w:val="0"/>
      <w:marBottom w:val="0"/>
      <w:divBdr>
        <w:top w:val="none" w:sz="0" w:space="0" w:color="auto"/>
        <w:left w:val="none" w:sz="0" w:space="0" w:color="auto"/>
        <w:bottom w:val="none" w:sz="0" w:space="0" w:color="auto"/>
        <w:right w:val="none" w:sz="0" w:space="0" w:color="auto"/>
      </w:divBdr>
    </w:div>
    <w:div w:id="1661084012">
      <w:bodyDiv w:val="1"/>
      <w:marLeft w:val="0"/>
      <w:marRight w:val="0"/>
      <w:marTop w:val="0"/>
      <w:marBottom w:val="0"/>
      <w:divBdr>
        <w:top w:val="none" w:sz="0" w:space="0" w:color="auto"/>
        <w:left w:val="none" w:sz="0" w:space="0" w:color="auto"/>
        <w:bottom w:val="none" w:sz="0" w:space="0" w:color="auto"/>
        <w:right w:val="none" w:sz="0" w:space="0" w:color="auto"/>
      </w:divBdr>
      <w:divsChild>
        <w:div w:id="1884170098">
          <w:marLeft w:val="0"/>
          <w:marRight w:val="0"/>
          <w:marTop w:val="0"/>
          <w:marBottom w:val="0"/>
          <w:divBdr>
            <w:top w:val="none" w:sz="0" w:space="0" w:color="auto"/>
            <w:left w:val="none" w:sz="0" w:space="0" w:color="auto"/>
            <w:bottom w:val="none" w:sz="0" w:space="0" w:color="auto"/>
            <w:right w:val="none" w:sz="0" w:space="0" w:color="auto"/>
          </w:divBdr>
        </w:div>
      </w:divsChild>
    </w:div>
    <w:div w:id="1666280541">
      <w:bodyDiv w:val="1"/>
      <w:marLeft w:val="0"/>
      <w:marRight w:val="0"/>
      <w:marTop w:val="0"/>
      <w:marBottom w:val="0"/>
      <w:divBdr>
        <w:top w:val="none" w:sz="0" w:space="0" w:color="auto"/>
        <w:left w:val="none" w:sz="0" w:space="0" w:color="auto"/>
        <w:bottom w:val="none" w:sz="0" w:space="0" w:color="auto"/>
        <w:right w:val="none" w:sz="0" w:space="0" w:color="auto"/>
      </w:divBdr>
    </w:div>
    <w:div w:id="1672833169">
      <w:bodyDiv w:val="1"/>
      <w:marLeft w:val="0"/>
      <w:marRight w:val="0"/>
      <w:marTop w:val="0"/>
      <w:marBottom w:val="0"/>
      <w:divBdr>
        <w:top w:val="none" w:sz="0" w:space="0" w:color="auto"/>
        <w:left w:val="none" w:sz="0" w:space="0" w:color="auto"/>
        <w:bottom w:val="none" w:sz="0" w:space="0" w:color="auto"/>
        <w:right w:val="none" w:sz="0" w:space="0" w:color="auto"/>
      </w:divBdr>
    </w:div>
    <w:div w:id="1711808007">
      <w:bodyDiv w:val="1"/>
      <w:marLeft w:val="0"/>
      <w:marRight w:val="0"/>
      <w:marTop w:val="0"/>
      <w:marBottom w:val="0"/>
      <w:divBdr>
        <w:top w:val="none" w:sz="0" w:space="0" w:color="auto"/>
        <w:left w:val="none" w:sz="0" w:space="0" w:color="auto"/>
        <w:bottom w:val="none" w:sz="0" w:space="0" w:color="auto"/>
        <w:right w:val="none" w:sz="0" w:space="0" w:color="auto"/>
      </w:divBdr>
    </w:div>
    <w:div w:id="1718773695">
      <w:bodyDiv w:val="1"/>
      <w:marLeft w:val="0"/>
      <w:marRight w:val="0"/>
      <w:marTop w:val="0"/>
      <w:marBottom w:val="0"/>
      <w:divBdr>
        <w:top w:val="none" w:sz="0" w:space="0" w:color="auto"/>
        <w:left w:val="none" w:sz="0" w:space="0" w:color="auto"/>
        <w:bottom w:val="none" w:sz="0" w:space="0" w:color="auto"/>
        <w:right w:val="none" w:sz="0" w:space="0" w:color="auto"/>
      </w:divBdr>
    </w:div>
    <w:div w:id="1741516634">
      <w:bodyDiv w:val="1"/>
      <w:marLeft w:val="0"/>
      <w:marRight w:val="0"/>
      <w:marTop w:val="0"/>
      <w:marBottom w:val="0"/>
      <w:divBdr>
        <w:top w:val="none" w:sz="0" w:space="0" w:color="auto"/>
        <w:left w:val="none" w:sz="0" w:space="0" w:color="auto"/>
        <w:bottom w:val="none" w:sz="0" w:space="0" w:color="auto"/>
        <w:right w:val="none" w:sz="0" w:space="0" w:color="auto"/>
      </w:divBdr>
    </w:div>
    <w:div w:id="1764374985">
      <w:bodyDiv w:val="1"/>
      <w:marLeft w:val="0"/>
      <w:marRight w:val="0"/>
      <w:marTop w:val="0"/>
      <w:marBottom w:val="0"/>
      <w:divBdr>
        <w:top w:val="none" w:sz="0" w:space="0" w:color="auto"/>
        <w:left w:val="none" w:sz="0" w:space="0" w:color="auto"/>
        <w:bottom w:val="none" w:sz="0" w:space="0" w:color="auto"/>
        <w:right w:val="none" w:sz="0" w:space="0" w:color="auto"/>
      </w:divBdr>
      <w:divsChild>
        <w:div w:id="1311909683">
          <w:marLeft w:val="0"/>
          <w:marRight w:val="0"/>
          <w:marTop w:val="0"/>
          <w:marBottom w:val="0"/>
          <w:divBdr>
            <w:top w:val="none" w:sz="0" w:space="0" w:color="auto"/>
            <w:left w:val="none" w:sz="0" w:space="0" w:color="auto"/>
            <w:bottom w:val="none" w:sz="0" w:space="0" w:color="auto"/>
            <w:right w:val="none" w:sz="0" w:space="0" w:color="auto"/>
          </w:divBdr>
        </w:div>
      </w:divsChild>
    </w:div>
    <w:div w:id="1780173526">
      <w:bodyDiv w:val="1"/>
      <w:marLeft w:val="0"/>
      <w:marRight w:val="0"/>
      <w:marTop w:val="0"/>
      <w:marBottom w:val="0"/>
      <w:divBdr>
        <w:top w:val="none" w:sz="0" w:space="0" w:color="auto"/>
        <w:left w:val="none" w:sz="0" w:space="0" w:color="auto"/>
        <w:bottom w:val="none" w:sz="0" w:space="0" w:color="auto"/>
        <w:right w:val="none" w:sz="0" w:space="0" w:color="auto"/>
      </w:divBdr>
    </w:div>
    <w:div w:id="1819491708">
      <w:bodyDiv w:val="1"/>
      <w:marLeft w:val="0"/>
      <w:marRight w:val="0"/>
      <w:marTop w:val="0"/>
      <w:marBottom w:val="0"/>
      <w:divBdr>
        <w:top w:val="none" w:sz="0" w:space="0" w:color="auto"/>
        <w:left w:val="none" w:sz="0" w:space="0" w:color="auto"/>
        <w:bottom w:val="none" w:sz="0" w:space="0" w:color="auto"/>
        <w:right w:val="none" w:sz="0" w:space="0" w:color="auto"/>
      </w:divBdr>
      <w:divsChild>
        <w:div w:id="127944134">
          <w:marLeft w:val="0"/>
          <w:marRight w:val="0"/>
          <w:marTop w:val="0"/>
          <w:marBottom w:val="0"/>
          <w:divBdr>
            <w:top w:val="none" w:sz="0" w:space="0" w:color="auto"/>
            <w:left w:val="none" w:sz="0" w:space="0" w:color="auto"/>
            <w:bottom w:val="none" w:sz="0" w:space="0" w:color="auto"/>
            <w:right w:val="none" w:sz="0" w:space="0" w:color="auto"/>
          </w:divBdr>
        </w:div>
      </w:divsChild>
    </w:div>
    <w:div w:id="1825776804">
      <w:bodyDiv w:val="1"/>
      <w:marLeft w:val="0"/>
      <w:marRight w:val="0"/>
      <w:marTop w:val="0"/>
      <w:marBottom w:val="0"/>
      <w:divBdr>
        <w:top w:val="none" w:sz="0" w:space="0" w:color="auto"/>
        <w:left w:val="none" w:sz="0" w:space="0" w:color="auto"/>
        <w:bottom w:val="none" w:sz="0" w:space="0" w:color="auto"/>
        <w:right w:val="none" w:sz="0" w:space="0" w:color="auto"/>
      </w:divBdr>
    </w:div>
    <w:div w:id="1846047172">
      <w:bodyDiv w:val="1"/>
      <w:marLeft w:val="0"/>
      <w:marRight w:val="0"/>
      <w:marTop w:val="0"/>
      <w:marBottom w:val="0"/>
      <w:divBdr>
        <w:top w:val="none" w:sz="0" w:space="0" w:color="auto"/>
        <w:left w:val="none" w:sz="0" w:space="0" w:color="auto"/>
        <w:bottom w:val="none" w:sz="0" w:space="0" w:color="auto"/>
        <w:right w:val="none" w:sz="0" w:space="0" w:color="auto"/>
      </w:divBdr>
    </w:div>
    <w:div w:id="1890453832">
      <w:bodyDiv w:val="1"/>
      <w:marLeft w:val="0"/>
      <w:marRight w:val="0"/>
      <w:marTop w:val="0"/>
      <w:marBottom w:val="0"/>
      <w:divBdr>
        <w:top w:val="none" w:sz="0" w:space="0" w:color="auto"/>
        <w:left w:val="none" w:sz="0" w:space="0" w:color="auto"/>
        <w:bottom w:val="none" w:sz="0" w:space="0" w:color="auto"/>
        <w:right w:val="none" w:sz="0" w:space="0" w:color="auto"/>
      </w:divBdr>
      <w:divsChild>
        <w:div w:id="918370167">
          <w:marLeft w:val="0"/>
          <w:marRight w:val="0"/>
          <w:marTop w:val="0"/>
          <w:marBottom w:val="0"/>
          <w:divBdr>
            <w:top w:val="none" w:sz="0" w:space="0" w:color="auto"/>
            <w:left w:val="none" w:sz="0" w:space="0" w:color="auto"/>
            <w:bottom w:val="none" w:sz="0" w:space="0" w:color="auto"/>
            <w:right w:val="none" w:sz="0" w:space="0" w:color="auto"/>
          </w:divBdr>
          <w:divsChild>
            <w:div w:id="335615843">
              <w:marLeft w:val="0"/>
              <w:marRight w:val="0"/>
              <w:marTop w:val="0"/>
              <w:marBottom w:val="0"/>
              <w:divBdr>
                <w:top w:val="none" w:sz="0" w:space="0" w:color="auto"/>
                <w:left w:val="none" w:sz="0" w:space="0" w:color="auto"/>
                <w:bottom w:val="none" w:sz="0" w:space="0" w:color="auto"/>
                <w:right w:val="none" w:sz="0" w:space="0" w:color="auto"/>
              </w:divBdr>
              <w:divsChild>
                <w:div w:id="414134463">
                  <w:marLeft w:val="0"/>
                  <w:marRight w:val="0"/>
                  <w:marTop w:val="0"/>
                  <w:marBottom w:val="0"/>
                  <w:divBdr>
                    <w:top w:val="none" w:sz="0" w:space="0" w:color="auto"/>
                    <w:left w:val="none" w:sz="0" w:space="0" w:color="auto"/>
                    <w:bottom w:val="none" w:sz="0" w:space="0" w:color="auto"/>
                    <w:right w:val="none" w:sz="0" w:space="0" w:color="auto"/>
                  </w:divBdr>
                  <w:divsChild>
                    <w:div w:id="338973522">
                      <w:marLeft w:val="0"/>
                      <w:marRight w:val="0"/>
                      <w:marTop w:val="0"/>
                      <w:marBottom w:val="0"/>
                      <w:divBdr>
                        <w:top w:val="none" w:sz="0" w:space="0" w:color="auto"/>
                        <w:left w:val="none" w:sz="0" w:space="0" w:color="auto"/>
                        <w:bottom w:val="none" w:sz="0" w:space="0" w:color="auto"/>
                        <w:right w:val="none" w:sz="0" w:space="0" w:color="auto"/>
                      </w:divBdr>
                      <w:divsChild>
                        <w:div w:id="1661077395">
                          <w:marLeft w:val="0"/>
                          <w:marRight w:val="0"/>
                          <w:marTop w:val="0"/>
                          <w:marBottom w:val="0"/>
                          <w:divBdr>
                            <w:top w:val="none" w:sz="0" w:space="0" w:color="auto"/>
                            <w:left w:val="none" w:sz="0" w:space="0" w:color="auto"/>
                            <w:bottom w:val="none" w:sz="0" w:space="0" w:color="auto"/>
                            <w:right w:val="none" w:sz="0" w:space="0" w:color="auto"/>
                          </w:divBdr>
                          <w:divsChild>
                            <w:div w:id="16775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840027">
      <w:bodyDiv w:val="1"/>
      <w:marLeft w:val="0"/>
      <w:marRight w:val="0"/>
      <w:marTop w:val="0"/>
      <w:marBottom w:val="0"/>
      <w:divBdr>
        <w:top w:val="none" w:sz="0" w:space="0" w:color="auto"/>
        <w:left w:val="none" w:sz="0" w:space="0" w:color="auto"/>
        <w:bottom w:val="none" w:sz="0" w:space="0" w:color="auto"/>
        <w:right w:val="none" w:sz="0" w:space="0" w:color="auto"/>
      </w:divBdr>
    </w:div>
    <w:div w:id="1919633245">
      <w:bodyDiv w:val="1"/>
      <w:marLeft w:val="0"/>
      <w:marRight w:val="0"/>
      <w:marTop w:val="0"/>
      <w:marBottom w:val="0"/>
      <w:divBdr>
        <w:top w:val="none" w:sz="0" w:space="0" w:color="auto"/>
        <w:left w:val="none" w:sz="0" w:space="0" w:color="auto"/>
        <w:bottom w:val="none" w:sz="0" w:space="0" w:color="auto"/>
        <w:right w:val="none" w:sz="0" w:space="0" w:color="auto"/>
      </w:divBdr>
    </w:div>
    <w:div w:id="1922834229">
      <w:bodyDiv w:val="1"/>
      <w:marLeft w:val="0"/>
      <w:marRight w:val="0"/>
      <w:marTop w:val="0"/>
      <w:marBottom w:val="0"/>
      <w:divBdr>
        <w:top w:val="none" w:sz="0" w:space="0" w:color="auto"/>
        <w:left w:val="none" w:sz="0" w:space="0" w:color="auto"/>
        <w:bottom w:val="none" w:sz="0" w:space="0" w:color="auto"/>
        <w:right w:val="none" w:sz="0" w:space="0" w:color="auto"/>
      </w:divBdr>
    </w:div>
    <w:div w:id="1933658466">
      <w:bodyDiv w:val="1"/>
      <w:marLeft w:val="0"/>
      <w:marRight w:val="0"/>
      <w:marTop w:val="0"/>
      <w:marBottom w:val="0"/>
      <w:divBdr>
        <w:top w:val="none" w:sz="0" w:space="0" w:color="auto"/>
        <w:left w:val="none" w:sz="0" w:space="0" w:color="auto"/>
        <w:bottom w:val="none" w:sz="0" w:space="0" w:color="auto"/>
        <w:right w:val="none" w:sz="0" w:space="0" w:color="auto"/>
      </w:divBdr>
    </w:div>
    <w:div w:id="1950041767">
      <w:bodyDiv w:val="1"/>
      <w:marLeft w:val="0"/>
      <w:marRight w:val="0"/>
      <w:marTop w:val="0"/>
      <w:marBottom w:val="0"/>
      <w:divBdr>
        <w:top w:val="none" w:sz="0" w:space="0" w:color="auto"/>
        <w:left w:val="none" w:sz="0" w:space="0" w:color="auto"/>
        <w:bottom w:val="none" w:sz="0" w:space="0" w:color="auto"/>
        <w:right w:val="none" w:sz="0" w:space="0" w:color="auto"/>
      </w:divBdr>
    </w:div>
    <w:div w:id="1966812538">
      <w:bodyDiv w:val="1"/>
      <w:marLeft w:val="0"/>
      <w:marRight w:val="0"/>
      <w:marTop w:val="0"/>
      <w:marBottom w:val="0"/>
      <w:divBdr>
        <w:top w:val="none" w:sz="0" w:space="0" w:color="auto"/>
        <w:left w:val="none" w:sz="0" w:space="0" w:color="auto"/>
        <w:bottom w:val="none" w:sz="0" w:space="0" w:color="auto"/>
        <w:right w:val="none" w:sz="0" w:space="0" w:color="auto"/>
      </w:divBdr>
    </w:div>
    <w:div w:id="1973825711">
      <w:bodyDiv w:val="1"/>
      <w:marLeft w:val="0"/>
      <w:marRight w:val="0"/>
      <w:marTop w:val="0"/>
      <w:marBottom w:val="0"/>
      <w:divBdr>
        <w:top w:val="none" w:sz="0" w:space="0" w:color="auto"/>
        <w:left w:val="none" w:sz="0" w:space="0" w:color="auto"/>
        <w:bottom w:val="none" w:sz="0" w:space="0" w:color="auto"/>
        <w:right w:val="none" w:sz="0" w:space="0" w:color="auto"/>
      </w:divBdr>
    </w:div>
    <w:div w:id="1977681531">
      <w:bodyDiv w:val="1"/>
      <w:marLeft w:val="0"/>
      <w:marRight w:val="0"/>
      <w:marTop w:val="0"/>
      <w:marBottom w:val="0"/>
      <w:divBdr>
        <w:top w:val="none" w:sz="0" w:space="0" w:color="auto"/>
        <w:left w:val="none" w:sz="0" w:space="0" w:color="auto"/>
        <w:bottom w:val="none" w:sz="0" w:space="0" w:color="auto"/>
        <w:right w:val="none" w:sz="0" w:space="0" w:color="auto"/>
      </w:divBdr>
    </w:div>
    <w:div w:id="1985696638">
      <w:bodyDiv w:val="1"/>
      <w:marLeft w:val="0"/>
      <w:marRight w:val="0"/>
      <w:marTop w:val="0"/>
      <w:marBottom w:val="0"/>
      <w:divBdr>
        <w:top w:val="none" w:sz="0" w:space="0" w:color="auto"/>
        <w:left w:val="none" w:sz="0" w:space="0" w:color="auto"/>
        <w:bottom w:val="none" w:sz="0" w:space="0" w:color="auto"/>
        <w:right w:val="none" w:sz="0" w:space="0" w:color="auto"/>
      </w:divBdr>
      <w:divsChild>
        <w:div w:id="1758749939">
          <w:marLeft w:val="0"/>
          <w:marRight w:val="0"/>
          <w:marTop w:val="0"/>
          <w:marBottom w:val="0"/>
          <w:divBdr>
            <w:top w:val="none" w:sz="0" w:space="0" w:color="auto"/>
            <w:left w:val="none" w:sz="0" w:space="0" w:color="auto"/>
            <w:bottom w:val="none" w:sz="0" w:space="0" w:color="auto"/>
            <w:right w:val="none" w:sz="0" w:space="0" w:color="auto"/>
          </w:divBdr>
        </w:div>
      </w:divsChild>
    </w:div>
    <w:div w:id="1987782172">
      <w:bodyDiv w:val="1"/>
      <w:marLeft w:val="0"/>
      <w:marRight w:val="0"/>
      <w:marTop w:val="0"/>
      <w:marBottom w:val="0"/>
      <w:divBdr>
        <w:top w:val="none" w:sz="0" w:space="0" w:color="auto"/>
        <w:left w:val="none" w:sz="0" w:space="0" w:color="auto"/>
        <w:bottom w:val="none" w:sz="0" w:space="0" w:color="auto"/>
        <w:right w:val="none" w:sz="0" w:space="0" w:color="auto"/>
      </w:divBdr>
      <w:divsChild>
        <w:div w:id="2024740181">
          <w:marLeft w:val="0"/>
          <w:marRight w:val="0"/>
          <w:marTop w:val="0"/>
          <w:marBottom w:val="0"/>
          <w:divBdr>
            <w:top w:val="none" w:sz="0" w:space="0" w:color="auto"/>
            <w:left w:val="none" w:sz="0" w:space="0" w:color="auto"/>
            <w:bottom w:val="none" w:sz="0" w:space="0" w:color="auto"/>
            <w:right w:val="none" w:sz="0" w:space="0" w:color="auto"/>
          </w:divBdr>
        </w:div>
      </w:divsChild>
    </w:div>
    <w:div w:id="1990934682">
      <w:bodyDiv w:val="1"/>
      <w:marLeft w:val="0"/>
      <w:marRight w:val="0"/>
      <w:marTop w:val="0"/>
      <w:marBottom w:val="0"/>
      <w:divBdr>
        <w:top w:val="none" w:sz="0" w:space="0" w:color="auto"/>
        <w:left w:val="none" w:sz="0" w:space="0" w:color="auto"/>
        <w:bottom w:val="none" w:sz="0" w:space="0" w:color="auto"/>
        <w:right w:val="none" w:sz="0" w:space="0" w:color="auto"/>
      </w:divBdr>
      <w:divsChild>
        <w:div w:id="1958903450">
          <w:marLeft w:val="0"/>
          <w:marRight w:val="0"/>
          <w:marTop w:val="0"/>
          <w:marBottom w:val="0"/>
          <w:divBdr>
            <w:top w:val="none" w:sz="0" w:space="0" w:color="auto"/>
            <w:left w:val="none" w:sz="0" w:space="0" w:color="auto"/>
            <w:bottom w:val="none" w:sz="0" w:space="0" w:color="auto"/>
            <w:right w:val="none" w:sz="0" w:space="0" w:color="auto"/>
          </w:divBdr>
        </w:div>
      </w:divsChild>
    </w:div>
    <w:div w:id="2003074708">
      <w:bodyDiv w:val="1"/>
      <w:marLeft w:val="0"/>
      <w:marRight w:val="0"/>
      <w:marTop w:val="0"/>
      <w:marBottom w:val="0"/>
      <w:divBdr>
        <w:top w:val="none" w:sz="0" w:space="0" w:color="auto"/>
        <w:left w:val="none" w:sz="0" w:space="0" w:color="auto"/>
        <w:bottom w:val="none" w:sz="0" w:space="0" w:color="auto"/>
        <w:right w:val="none" w:sz="0" w:space="0" w:color="auto"/>
      </w:divBdr>
    </w:div>
    <w:div w:id="2039231878">
      <w:bodyDiv w:val="1"/>
      <w:marLeft w:val="0"/>
      <w:marRight w:val="0"/>
      <w:marTop w:val="0"/>
      <w:marBottom w:val="0"/>
      <w:divBdr>
        <w:top w:val="none" w:sz="0" w:space="0" w:color="auto"/>
        <w:left w:val="none" w:sz="0" w:space="0" w:color="auto"/>
        <w:bottom w:val="none" w:sz="0" w:space="0" w:color="auto"/>
        <w:right w:val="none" w:sz="0" w:space="0" w:color="auto"/>
      </w:divBdr>
    </w:div>
    <w:div w:id="2041473853">
      <w:bodyDiv w:val="1"/>
      <w:marLeft w:val="0"/>
      <w:marRight w:val="0"/>
      <w:marTop w:val="0"/>
      <w:marBottom w:val="0"/>
      <w:divBdr>
        <w:top w:val="none" w:sz="0" w:space="0" w:color="auto"/>
        <w:left w:val="none" w:sz="0" w:space="0" w:color="auto"/>
        <w:bottom w:val="none" w:sz="0" w:space="0" w:color="auto"/>
        <w:right w:val="none" w:sz="0" w:space="0" w:color="auto"/>
      </w:divBdr>
    </w:div>
    <w:div w:id="2055080674">
      <w:bodyDiv w:val="1"/>
      <w:marLeft w:val="0"/>
      <w:marRight w:val="0"/>
      <w:marTop w:val="0"/>
      <w:marBottom w:val="0"/>
      <w:divBdr>
        <w:top w:val="none" w:sz="0" w:space="0" w:color="auto"/>
        <w:left w:val="none" w:sz="0" w:space="0" w:color="auto"/>
        <w:bottom w:val="none" w:sz="0" w:space="0" w:color="auto"/>
        <w:right w:val="none" w:sz="0" w:space="0" w:color="auto"/>
      </w:divBdr>
      <w:divsChild>
        <w:div w:id="826020601">
          <w:marLeft w:val="0"/>
          <w:marRight w:val="0"/>
          <w:marTop w:val="0"/>
          <w:marBottom w:val="0"/>
          <w:divBdr>
            <w:top w:val="none" w:sz="0" w:space="0" w:color="auto"/>
            <w:left w:val="none" w:sz="0" w:space="0" w:color="auto"/>
            <w:bottom w:val="none" w:sz="0" w:space="0" w:color="auto"/>
            <w:right w:val="none" w:sz="0" w:space="0" w:color="auto"/>
          </w:divBdr>
        </w:div>
      </w:divsChild>
    </w:div>
    <w:div w:id="2061858105">
      <w:bodyDiv w:val="1"/>
      <w:marLeft w:val="0"/>
      <w:marRight w:val="0"/>
      <w:marTop w:val="0"/>
      <w:marBottom w:val="0"/>
      <w:divBdr>
        <w:top w:val="none" w:sz="0" w:space="0" w:color="auto"/>
        <w:left w:val="none" w:sz="0" w:space="0" w:color="auto"/>
        <w:bottom w:val="none" w:sz="0" w:space="0" w:color="auto"/>
        <w:right w:val="none" w:sz="0" w:space="0" w:color="auto"/>
      </w:divBdr>
    </w:div>
    <w:div w:id="2068256144">
      <w:bodyDiv w:val="1"/>
      <w:marLeft w:val="0"/>
      <w:marRight w:val="0"/>
      <w:marTop w:val="0"/>
      <w:marBottom w:val="0"/>
      <w:divBdr>
        <w:top w:val="none" w:sz="0" w:space="0" w:color="auto"/>
        <w:left w:val="none" w:sz="0" w:space="0" w:color="auto"/>
        <w:bottom w:val="none" w:sz="0" w:space="0" w:color="auto"/>
        <w:right w:val="none" w:sz="0" w:space="0" w:color="auto"/>
      </w:divBdr>
    </w:div>
    <w:div w:id="2074615612">
      <w:bodyDiv w:val="1"/>
      <w:marLeft w:val="0"/>
      <w:marRight w:val="0"/>
      <w:marTop w:val="0"/>
      <w:marBottom w:val="0"/>
      <w:divBdr>
        <w:top w:val="none" w:sz="0" w:space="0" w:color="auto"/>
        <w:left w:val="none" w:sz="0" w:space="0" w:color="auto"/>
        <w:bottom w:val="none" w:sz="0" w:space="0" w:color="auto"/>
        <w:right w:val="none" w:sz="0" w:space="0" w:color="auto"/>
      </w:divBdr>
    </w:div>
    <w:div w:id="2075854875">
      <w:bodyDiv w:val="1"/>
      <w:marLeft w:val="0"/>
      <w:marRight w:val="0"/>
      <w:marTop w:val="0"/>
      <w:marBottom w:val="0"/>
      <w:divBdr>
        <w:top w:val="none" w:sz="0" w:space="0" w:color="auto"/>
        <w:left w:val="none" w:sz="0" w:space="0" w:color="auto"/>
        <w:bottom w:val="none" w:sz="0" w:space="0" w:color="auto"/>
        <w:right w:val="none" w:sz="0" w:space="0" w:color="auto"/>
      </w:divBdr>
      <w:divsChild>
        <w:div w:id="1617371024">
          <w:marLeft w:val="0"/>
          <w:marRight w:val="0"/>
          <w:marTop w:val="0"/>
          <w:marBottom w:val="0"/>
          <w:divBdr>
            <w:top w:val="none" w:sz="0" w:space="0" w:color="auto"/>
            <w:left w:val="none" w:sz="0" w:space="0" w:color="auto"/>
            <w:bottom w:val="none" w:sz="0" w:space="0" w:color="auto"/>
            <w:right w:val="none" w:sz="0" w:space="0" w:color="auto"/>
          </w:divBdr>
          <w:divsChild>
            <w:div w:id="338655026">
              <w:marLeft w:val="0"/>
              <w:marRight w:val="0"/>
              <w:marTop w:val="0"/>
              <w:marBottom w:val="0"/>
              <w:divBdr>
                <w:top w:val="none" w:sz="0" w:space="0" w:color="auto"/>
                <w:left w:val="none" w:sz="0" w:space="0" w:color="auto"/>
                <w:bottom w:val="none" w:sz="0" w:space="0" w:color="auto"/>
                <w:right w:val="none" w:sz="0" w:space="0" w:color="auto"/>
              </w:divBdr>
              <w:divsChild>
                <w:div w:id="879437093">
                  <w:marLeft w:val="0"/>
                  <w:marRight w:val="0"/>
                  <w:marTop w:val="0"/>
                  <w:marBottom w:val="0"/>
                  <w:divBdr>
                    <w:top w:val="none" w:sz="0" w:space="0" w:color="auto"/>
                    <w:left w:val="none" w:sz="0" w:space="0" w:color="auto"/>
                    <w:bottom w:val="none" w:sz="0" w:space="0" w:color="auto"/>
                    <w:right w:val="none" w:sz="0" w:space="0" w:color="auto"/>
                  </w:divBdr>
                  <w:divsChild>
                    <w:div w:id="1054044079">
                      <w:marLeft w:val="0"/>
                      <w:marRight w:val="0"/>
                      <w:marTop w:val="0"/>
                      <w:marBottom w:val="0"/>
                      <w:divBdr>
                        <w:top w:val="none" w:sz="0" w:space="0" w:color="auto"/>
                        <w:left w:val="none" w:sz="0" w:space="0" w:color="auto"/>
                        <w:bottom w:val="none" w:sz="0" w:space="0" w:color="auto"/>
                        <w:right w:val="none" w:sz="0" w:space="0" w:color="auto"/>
                      </w:divBdr>
                      <w:divsChild>
                        <w:div w:id="1628320867">
                          <w:marLeft w:val="0"/>
                          <w:marRight w:val="0"/>
                          <w:marTop w:val="0"/>
                          <w:marBottom w:val="0"/>
                          <w:divBdr>
                            <w:top w:val="none" w:sz="0" w:space="0" w:color="auto"/>
                            <w:left w:val="none" w:sz="0" w:space="0" w:color="auto"/>
                            <w:bottom w:val="none" w:sz="0" w:space="0" w:color="auto"/>
                            <w:right w:val="none" w:sz="0" w:space="0" w:color="auto"/>
                          </w:divBdr>
                          <w:divsChild>
                            <w:div w:id="41432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452595">
      <w:bodyDiv w:val="1"/>
      <w:marLeft w:val="0"/>
      <w:marRight w:val="0"/>
      <w:marTop w:val="0"/>
      <w:marBottom w:val="0"/>
      <w:divBdr>
        <w:top w:val="none" w:sz="0" w:space="0" w:color="auto"/>
        <w:left w:val="none" w:sz="0" w:space="0" w:color="auto"/>
        <w:bottom w:val="none" w:sz="0" w:space="0" w:color="auto"/>
        <w:right w:val="none" w:sz="0" w:space="0" w:color="auto"/>
      </w:divBdr>
    </w:div>
    <w:div w:id="2097285159">
      <w:bodyDiv w:val="1"/>
      <w:marLeft w:val="0"/>
      <w:marRight w:val="0"/>
      <w:marTop w:val="0"/>
      <w:marBottom w:val="0"/>
      <w:divBdr>
        <w:top w:val="none" w:sz="0" w:space="0" w:color="auto"/>
        <w:left w:val="none" w:sz="0" w:space="0" w:color="auto"/>
        <w:bottom w:val="none" w:sz="0" w:space="0" w:color="auto"/>
        <w:right w:val="none" w:sz="0" w:space="0" w:color="auto"/>
      </w:divBdr>
    </w:div>
    <w:div w:id="2112627295">
      <w:bodyDiv w:val="1"/>
      <w:marLeft w:val="0"/>
      <w:marRight w:val="0"/>
      <w:marTop w:val="0"/>
      <w:marBottom w:val="0"/>
      <w:divBdr>
        <w:top w:val="none" w:sz="0" w:space="0" w:color="auto"/>
        <w:left w:val="none" w:sz="0" w:space="0" w:color="auto"/>
        <w:bottom w:val="none" w:sz="0" w:space="0" w:color="auto"/>
        <w:right w:val="none" w:sz="0" w:space="0" w:color="auto"/>
      </w:divBdr>
    </w:div>
    <w:div w:id="214337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chart" Target="charts/chart1.xml"/><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chart" Target="charts/chart3.xml"/><Relationship Id="rId36" Type="http://schemas.openxmlformats.org/officeDocument/2006/relationships/image" Target="media/image20.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xiaominyang\Documents\Xiaomin%20Yang%20METM\TCMT%20612\Textbook\Sample%20si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xiaominyang\OneDrive%20-%20Texas%20A&amp;M%20University\METM%202024\Simulation%20module\Simulation%20%20introduction%20examples%20data.xlsm"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xiaominyang\OneDrive%20-%20Texas%20A&amp;M%20University\METM%202024\Simulation%20module\Simulation%20%20introduction%20examples%20data.xlsm"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r>
              <a:rPr lang="en-US"/>
              <a:t>Law of large numbers</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square"/>
            <c:size val="8"/>
            <c:spPr>
              <a:solidFill>
                <a:schemeClr val="accent1"/>
              </a:solidFill>
              <a:ln w="9525">
                <a:solidFill>
                  <a:schemeClr val="accent1"/>
                </a:solidFill>
              </a:ln>
              <a:effectLst/>
            </c:spPr>
          </c:marker>
          <c:xVal>
            <c:numRef>
              <c:f>Sheet1!$B$6:$I$6</c:f>
              <c:numCache>
                <c:formatCode>General</c:formatCode>
                <c:ptCount val="8"/>
                <c:pt idx="0">
                  <c:v>20</c:v>
                </c:pt>
                <c:pt idx="1">
                  <c:v>40</c:v>
                </c:pt>
                <c:pt idx="2">
                  <c:v>80</c:v>
                </c:pt>
                <c:pt idx="3">
                  <c:v>160</c:v>
                </c:pt>
                <c:pt idx="4">
                  <c:v>320</c:v>
                </c:pt>
                <c:pt idx="5">
                  <c:v>640</c:v>
                </c:pt>
                <c:pt idx="6">
                  <c:v>1280</c:v>
                </c:pt>
                <c:pt idx="7">
                  <c:v>2560</c:v>
                </c:pt>
              </c:numCache>
            </c:numRef>
          </c:xVal>
          <c:yVal>
            <c:numRef>
              <c:f>Sheet1!$B$7:$I$7</c:f>
              <c:numCache>
                <c:formatCode>General</c:formatCode>
                <c:ptCount val="8"/>
                <c:pt idx="0">
                  <c:v>0.5714285714285714</c:v>
                </c:pt>
                <c:pt idx="1">
                  <c:v>2.2307692307692308</c:v>
                </c:pt>
                <c:pt idx="2">
                  <c:v>0.82222222222222219</c:v>
                </c:pt>
                <c:pt idx="3">
                  <c:v>0.97560975609756095</c:v>
                </c:pt>
                <c:pt idx="4">
                  <c:v>0.92814371257485029</c:v>
                </c:pt>
                <c:pt idx="5">
                  <c:v>0.94545454545454544</c:v>
                </c:pt>
                <c:pt idx="6">
                  <c:v>0.96927803379416277</c:v>
                </c:pt>
                <c:pt idx="7">
                  <c:v>0.98758727695888282</c:v>
                </c:pt>
              </c:numCache>
            </c:numRef>
          </c:yVal>
          <c:smooth val="0"/>
          <c:extLst>
            <c:ext xmlns:c16="http://schemas.microsoft.com/office/drawing/2014/chart" uri="{C3380CC4-5D6E-409C-BE32-E72D297353CC}">
              <c16:uniqueId val="{00000000-577D-4972-A35B-220EA2278020}"/>
            </c:ext>
          </c:extLst>
        </c:ser>
        <c:dLbls>
          <c:showLegendKey val="0"/>
          <c:showVal val="0"/>
          <c:showCatName val="0"/>
          <c:showSerName val="0"/>
          <c:showPercent val="0"/>
          <c:showBubbleSize val="0"/>
        </c:dLbls>
        <c:axId val="1432454912"/>
        <c:axId val="1432476992"/>
      </c:scatterChart>
      <c:valAx>
        <c:axId val="1432454912"/>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Sample size</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432476992"/>
        <c:crosses val="autoZero"/>
        <c:crossBetween val="midCat"/>
      </c:valAx>
      <c:valAx>
        <c:axId val="143247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Head/Tail ratio</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4324549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US" sz="1100"/>
              <a:t>Estimated H/T Ratio</a:t>
            </a:r>
          </a:p>
          <a:p>
            <a:pPr>
              <a:defRPr sz="1100"/>
            </a:pPr>
            <a:r>
              <a:rPr lang="en-US" sz="1100"/>
              <a:t>Mean=1</a:t>
            </a:r>
          </a:p>
          <a:p>
            <a:pPr>
              <a:defRPr sz="1100"/>
            </a:pPr>
            <a:r>
              <a:rPr lang="en-US" sz="1100"/>
              <a:t>Stdev=0.202</a:t>
            </a:r>
          </a:p>
          <a:p>
            <a:pPr>
              <a:defRPr sz="1100"/>
            </a:pPr>
            <a:r>
              <a:rPr lang="en-US" sz="1100"/>
              <a:t>(Sample #=100)</a:t>
            </a:r>
          </a:p>
        </c:rich>
      </c:tx>
      <c:layout>
        <c:manualLayout>
          <c:xMode val="edge"/>
          <c:yMode val="edge"/>
          <c:x val="0.70821988113994638"/>
          <c:y val="0.14848051375364582"/>
        </c:manualLayout>
      </c:layout>
      <c:overlay val="0"/>
      <c:spPr>
        <a:solidFill>
          <a:schemeClr val="bg1"/>
        </a:solid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manualLayout>
          <c:layoutTarget val="inner"/>
          <c:xMode val="edge"/>
          <c:yMode val="edge"/>
          <c:x val="7.2969816272965879E-2"/>
          <c:y val="0.12162037037037036"/>
          <c:w val="0.88811351706036756"/>
          <c:h val="0.77135061242344705"/>
        </c:manualLayout>
      </c:layout>
      <c:scatterChart>
        <c:scatterStyle val="smoothMarker"/>
        <c:varyColors val="0"/>
        <c:ser>
          <c:idx val="0"/>
          <c:order val="0"/>
          <c:spPr>
            <a:ln w="19050" cap="rnd">
              <a:solidFill>
                <a:schemeClr val="accent1"/>
              </a:solidFill>
              <a:round/>
            </a:ln>
            <a:effectLst/>
          </c:spPr>
          <c:marker>
            <c:symbol val="none"/>
          </c:marker>
          <c:xVal>
            <c:numRef>
              <c:f>'Confidence intervals (2)'!$X$4:$X$105</c:f>
              <c:numCache>
                <c:formatCode>General</c:formatCode>
                <c:ptCount val="102"/>
                <c:pt idx="0">
                  <c:v>1.8080000000000001</c:v>
                </c:pt>
                <c:pt idx="1">
                  <c:v>0</c:v>
                </c:pt>
                <c:pt idx="2">
                  <c:v>0.02</c:v>
                </c:pt>
                <c:pt idx="3">
                  <c:v>0.04</c:v>
                </c:pt>
                <c:pt idx="4">
                  <c:v>0.06</c:v>
                </c:pt>
                <c:pt idx="5">
                  <c:v>0.08</c:v>
                </c:pt>
                <c:pt idx="6">
                  <c:v>0.1</c:v>
                </c:pt>
                <c:pt idx="7">
                  <c:v>0.12000000000000001</c:v>
                </c:pt>
                <c:pt idx="8">
                  <c:v>0.14000000000000001</c:v>
                </c:pt>
                <c:pt idx="9">
                  <c:v>0.16</c:v>
                </c:pt>
                <c:pt idx="10">
                  <c:v>0.18</c:v>
                </c:pt>
                <c:pt idx="11">
                  <c:v>0.19999999999999998</c:v>
                </c:pt>
                <c:pt idx="12">
                  <c:v>0.21999999999999997</c:v>
                </c:pt>
                <c:pt idx="13">
                  <c:v>0.23999999999999996</c:v>
                </c:pt>
                <c:pt idx="14">
                  <c:v>0.25999999999999995</c:v>
                </c:pt>
                <c:pt idx="15">
                  <c:v>0.27999999999999997</c:v>
                </c:pt>
                <c:pt idx="16">
                  <c:v>0.3</c:v>
                </c:pt>
                <c:pt idx="17">
                  <c:v>0.32</c:v>
                </c:pt>
                <c:pt idx="18">
                  <c:v>0.34</c:v>
                </c:pt>
                <c:pt idx="19">
                  <c:v>0.36000000000000004</c:v>
                </c:pt>
                <c:pt idx="20">
                  <c:v>0.38000000000000006</c:v>
                </c:pt>
                <c:pt idx="21">
                  <c:v>0.40000000000000008</c:v>
                </c:pt>
                <c:pt idx="22">
                  <c:v>0.4200000000000001</c:v>
                </c:pt>
                <c:pt idx="23">
                  <c:v>0.44000000000000011</c:v>
                </c:pt>
                <c:pt idx="24">
                  <c:v>0.46000000000000013</c:v>
                </c:pt>
                <c:pt idx="25">
                  <c:v>0.48000000000000015</c:v>
                </c:pt>
                <c:pt idx="26">
                  <c:v>0.50000000000000011</c:v>
                </c:pt>
                <c:pt idx="27">
                  <c:v>0.52000000000000013</c:v>
                </c:pt>
                <c:pt idx="28">
                  <c:v>0.54000000000000015</c:v>
                </c:pt>
                <c:pt idx="29">
                  <c:v>0.56000000000000016</c:v>
                </c:pt>
                <c:pt idx="30">
                  <c:v>0.58000000000000018</c:v>
                </c:pt>
                <c:pt idx="31">
                  <c:v>0.6000000000000002</c:v>
                </c:pt>
                <c:pt idx="32">
                  <c:v>0.62000000000000022</c:v>
                </c:pt>
                <c:pt idx="33">
                  <c:v>0.64000000000000024</c:v>
                </c:pt>
                <c:pt idx="34">
                  <c:v>0.66000000000000025</c:v>
                </c:pt>
                <c:pt idx="35">
                  <c:v>0.68000000000000027</c:v>
                </c:pt>
                <c:pt idx="36">
                  <c:v>0.70000000000000029</c:v>
                </c:pt>
                <c:pt idx="37">
                  <c:v>0.72000000000000031</c:v>
                </c:pt>
                <c:pt idx="38">
                  <c:v>0.74000000000000032</c:v>
                </c:pt>
                <c:pt idx="39">
                  <c:v>0.76000000000000034</c:v>
                </c:pt>
                <c:pt idx="40">
                  <c:v>0.78000000000000036</c:v>
                </c:pt>
                <c:pt idx="41">
                  <c:v>0.80000000000000038</c:v>
                </c:pt>
                <c:pt idx="42">
                  <c:v>0.8200000000000004</c:v>
                </c:pt>
                <c:pt idx="43">
                  <c:v>0.84000000000000041</c:v>
                </c:pt>
                <c:pt idx="44">
                  <c:v>0.86000000000000043</c:v>
                </c:pt>
                <c:pt idx="45">
                  <c:v>0.88000000000000045</c:v>
                </c:pt>
                <c:pt idx="46">
                  <c:v>0.90000000000000047</c:v>
                </c:pt>
                <c:pt idx="47">
                  <c:v>0.92000000000000048</c:v>
                </c:pt>
                <c:pt idx="48">
                  <c:v>0.9400000000000005</c:v>
                </c:pt>
                <c:pt idx="49">
                  <c:v>0.96000000000000052</c:v>
                </c:pt>
                <c:pt idx="50">
                  <c:v>0.98000000000000054</c:v>
                </c:pt>
                <c:pt idx="51">
                  <c:v>1.0000000000000004</c:v>
                </c:pt>
                <c:pt idx="52">
                  <c:v>1.0200000000000005</c:v>
                </c:pt>
                <c:pt idx="53">
                  <c:v>1.0400000000000005</c:v>
                </c:pt>
                <c:pt idx="54">
                  <c:v>1.0600000000000005</c:v>
                </c:pt>
                <c:pt idx="55">
                  <c:v>1.0800000000000005</c:v>
                </c:pt>
                <c:pt idx="56">
                  <c:v>1.1000000000000005</c:v>
                </c:pt>
                <c:pt idx="57">
                  <c:v>1.1200000000000006</c:v>
                </c:pt>
                <c:pt idx="58">
                  <c:v>1.1400000000000006</c:v>
                </c:pt>
                <c:pt idx="59">
                  <c:v>1.1600000000000006</c:v>
                </c:pt>
                <c:pt idx="60">
                  <c:v>1.1800000000000006</c:v>
                </c:pt>
                <c:pt idx="61">
                  <c:v>1.2000000000000006</c:v>
                </c:pt>
                <c:pt idx="62">
                  <c:v>1.2200000000000006</c:v>
                </c:pt>
                <c:pt idx="63">
                  <c:v>1.2400000000000007</c:v>
                </c:pt>
                <c:pt idx="64">
                  <c:v>1.2600000000000007</c:v>
                </c:pt>
                <c:pt idx="65">
                  <c:v>1.2800000000000007</c:v>
                </c:pt>
                <c:pt idx="66">
                  <c:v>1.3000000000000007</c:v>
                </c:pt>
                <c:pt idx="67">
                  <c:v>1.3200000000000007</c:v>
                </c:pt>
                <c:pt idx="68">
                  <c:v>1.3400000000000007</c:v>
                </c:pt>
                <c:pt idx="69">
                  <c:v>1.3600000000000008</c:v>
                </c:pt>
                <c:pt idx="70">
                  <c:v>1.3800000000000008</c:v>
                </c:pt>
                <c:pt idx="71">
                  <c:v>1.4000000000000008</c:v>
                </c:pt>
                <c:pt idx="72">
                  <c:v>1.4200000000000008</c:v>
                </c:pt>
                <c:pt idx="73">
                  <c:v>1.4400000000000008</c:v>
                </c:pt>
                <c:pt idx="74">
                  <c:v>1.4600000000000009</c:v>
                </c:pt>
                <c:pt idx="75">
                  <c:v>1.4800000000000009</c:v>
                </c:pt>
                <c:pt idx="76">
                  <c:v>1.5000000000000009</c:v>
                </c:pt>
                <c:pt idx="77">
                  <c:v>1.5200000000000009</c:v>
                </c:pt>
                <c:pt idx="78">
                  <c:v>1.5400000000000009</c:v>
                </c:pt>
                <c:pt idx="79">
                  <c:v>1.5600000000000009</c:v>
                </c:pt>
                <c:pt idx="80">
                  <c:v>1.580000000000001</c:v>
                </c:pt>
                <c:pt idx="81">
                  <c:v>1.600000000000001</c:v>
                </c:pt>
                <c:pt idx="82">
                  <c:v>1.620000000000001</c:v>
                </c:pt>
                <c:pt idx="83">
                  <c:v>1.640000000000001</c:v>
                </c:pt>
                <c:pt idx="84">
                  <c:v>1.660000000000001</c:v>
                </c:pt>
                <c:pt idx="85">
                  <c:v>1.680000000000001</c:v>
                </c:pt>
                <c:pt idx="86">
                  <c:v>1.7000000000000011</c:v>
                </c:pt>
                <c:pt idx="87">
                  <c:v>1.7200000000000011</c:v>
                </c:pt>
                <c:pt idx="88">
                  <c:v>1.7400000000000011</c:v>
                </c:pt>
                <c:pt idx="89">
                  <c:v>1.7600000000000011</c:v>
                </c:pt>
                <c:pt idx="90">
                  <c:v>1.7800000000000011</c:v>
                </c:pt>
                <c:pt idx="91">
                  <c:v>1.8000000000000012</c:v>
                </c:pt>
                <c:pt idx="92">
                  <c:v>1.8200000000000012</c:v>
                </c:pt>
                <c:pt idx="93">
                  <c:v>1.8400000000000012</c:v>
                </c:pt>
                <c:pt idx="94">
                  <c:v>1.8600000000000012</c:v>
                </c:pt>
                <c:pt idx="95">
                  <c:v>1.8800000000000012</c:v>
                </c:pt>
                <c:pt idx="96">
                  <c:v>1.9000000000000012</c:v>
                </c:pt>
                <c:pt idx="97">
                  <c:v>1.9200000000000013</c:v>
                </c:pt>
                <c:pt idx="98">
                  <c:v>1.9400000000000013</c:v>
                </c:pt>
                <c:pt idx="99">
                  <c:v>1.9600000000000013</c:v>
                </c:pt>
                <c:pt idx="100">
                  <c:v>1.9800000000000013</c:v>
                </c:pt>
                <c:pt idx="101">
                  <c:v>2.0000000000000013</c:v>
                </c:pt>
              </c:numCache>
            </c:numRef>
          </c:xVal>
          <c:yVal>
            <c:numRef>
              <c:f>'Confidence intervals (2)'!$Y$4:$Y$105</c:f>
              <c:numCache>
                <c:formatCode>General</c:formatCode>
                <c:ptCount val="102"/>
                <c:pt idx="1">
                  <c:v>9.4155162070126266E-6</c:v>
                </c:pt>
                <c:pt idx="2">
                  <c:v>1.5296216851420996E-5</c:v>
                </c:pt>
                <c:pt idx="3">
                  <c:v>2.4607446913105942E-5</c:v>
                </c:pt>
                <c:pt idx="4">
                  <c:v>3.9200509362020604E-5</c:v>
                </c:pt>
                <c:pt idx="5">
                  <c:v>6.1838577655304734E-5</c:v>
                </c:pt>
                <c:pt idx="6">
                  <c:v>9.6598393060483019E-5</c:v>
                </c:pt>
                <c:pt idx="7">
                  <c:v>1.4942488843503688E-4</c:v>
                </c:pt>
                <c:pt idx="8">
                  <c:v>2.2888567190703602E-4</c:v>
                </c:pt>
                <c:pt idx="9">
                  <c:v>3.4718176129411982E-4</c:v>
                </c:pt>
                <c:pt idx="10">
                  <c:v>5.2148020248070316E-4</c:v>
                </c:pt>
                <c:pt idx="11">
                  <c:v>7.7564210669597725E-4</c:v>
                </c:pt>
                <c:pt idx="12">
                  <c:v>1.1424246292848906E-3</c:v>
                </c:pt>
                <c:pt idx="13">
                  <c:v>1.6662354339221919E-3</c:v>
                </c:pt>
                <c:pt idx="14">
                  <c:v>2.4065107315868668E-3</c:v>
                </c:pt>
                <c:pt idx="15">
                  <c:v>3.4417701833093866E-3</c:v>
                </c:pt>
                <c:pt idx="16">
                  <c:v>4.8743707770304194E-3</c:v>
                </c:pt>
                <c:pt idx="17">
                  <c:v>6.835934351015171E-3</c:v>
                </c:pt>
                <c:pt idx="18">
                  <c:v>9.4933574508170235E-3</c:v>
                </c:pt>
                <c:pt idx="19">
                  <c:v>1.3055226535509187E-2</c:v>
                </c:pt>
                <c:pt idx="20">
                  <c:v>1.7778356846062444E-2</c:v>
                </c:pt>
                <c:pt idx="21">
                  <c:v>2.3974052628797808E-2</c:v>
                </c:pt>
                <c:pt idx="22">
                  <c:v>3.2013556048222272E-2</c:v>
                </c:pt>
                <c:pt idx="23">
                  <c:v>4.2332021693114792E-2</c:v>
                </c:pt>
                <c:pt idx="24">
                  <c:v>5.5430236345069696E-2</c:v>
                </c:pt>
                <c:pt idx="25">
                  <c:v>7.1873216174156054E-2</c:v>
                </c:pt>
                <c:pt idx="26">
                  <c:v>9.2284774658994387E-2</c:v>
                </c:pt>
                <c:pt idx="27">
                  <c:v>0.11733718405786672</c:v>
                </c:pt>
                <c:pt idx="28">
                  <c:v>0.14773516965709785</c:v>
                </c:pt>
                <c:pt idx="29">
                  <c:v>0.18419369383167389</c:v>
                </c:pt>
                <c:pt idx="30">
                  <c:v>0.22740931383520477</c:v>
                </c:pt>
                <c:pt idx="31">
                  <c:v>0.27802533108339123</c:v>
                </c:pt>
                <c:pt idx="32">
                  <c:v>0.33659147619164004</c:v>
                </c:pt>
                <c:pt idx="33">
                  <c:v>0.40351946515179749</c:v>
                </c:pt>
                <c:pt idx="34">
                  <c:v>0.47903637594874837</c:v>
                </c:pt>
                <c:pt idx="35">
                  <c:v>0.56313837761839647</c:v>
                </c:pt>
                <c:pt idx="36">
                  <c:v>0.65554783264397187</c:v>
                </c:pt>
                <c:pt idx="37">
                  <c:v>0.75567712297439127</c:v>
                </c:pt>
                <c:pt idx="38">
                  <c:v>0.86260265801611913</c:v>
                </c:pt>
                <c:pt idx="39">
                  <c:v>0.9750523596737446</c:v>
                </c:pt>
                <c:pt idx="40">
                  <c:v>1.0914094545281892</c:v>
                </c:pt>
                <c:pt idx="41">
                  <c:v>1.2097346326209881</c:v>
                </c:pt>
                <c:pt idx="42">
                  <c:v>1.3278075831718175</c:v>
                </c:pt>
                <c:pt idx="43">
                  <c:v>1.4431876494933606</c:v>
                </c:pt>
                <c:pt idx="44">
                  <c:v>1.5532919481172804</c:v>
                </c:pt>
                <c:pt idx="45">
                  <c:v>1.6554878842309175</c:v>
                </c:pt>
                <c:pt idx="46">
                  <c:v>1.7471956942614426</c:v>
                </c:pt>
                <c:pt idx="47">
                  <c:v>1.8259955851955352</c:v>
                </c:pt>
                <c:pt idx="48">
                  <c:v>1.8897333342979388</c:v>
                </c:pt>
                <c:pt idx="49">
                  <c:v>1.9366179508020251</c:v>
                </c:pt>
                <c:pt idx="50">
                  <c:v>1.9653052330219325</c:v>
                </c:pt>
                <c:pt idx="51">
                  <c:v>1.9749617841655085</c:v>
                </c:pt>
                <c:pt idx="52">
                  <c:v>1.9653052330219318</c:v>
                </c:pt>
                <c:pt idx="53">
                  <c:v>1.9366179508020234</c:v>
                </c:pt>
                <c:pt idx="54">
                  <c:v>1.8897333342979361</c:v>
                </c:pt>
                <c:pt idx="55">
                  <c:v>1.8259955851955318</c:v>
                </c:pt>
                <c:pt idx="56">
                  <c:v>1.7471956942614388</c:v>
                </c:pt>
                <c:pt idx="57">
                  <c:v>1.6554878842309126</c:v>
                </c:pt>
                <c:pt idx="58">
                  <c:v>1.5532919481172753</c:v>
                </c:pt>
                <c:pt idx="59">
                  <c:v>1.4431876494933553</c:v>
                </c:pt>
                <c:pt idx="60">
                  <c:v>1.3278075831718119</c:v>
                </c:pt>
                <c:pt idx="61">
                  <c:v>1.2097346326209821</c:v>
                </c:pt>
                <c:pt idx="62">
                  <c:v>1.0914094545281832</c:v>
                </c:pt>
                <c:pt idx="63">
                  <c:v>0.97505235967373871</c:v>
                </c:pt>
                <c:pt idx="64">
                  <c:v>0.86260265801611347</c:v>
                </c:pt>
                <c:pt idx="65">
                  <c:v>0.75567712297438594</c:v>
                </c:pt>
                <c:pt idx="66">
                  <c:v>0.65554783264396699</c:v>
                </c:pt>
                <c:pt idx="67">
                  <c:v>0.56313837761839214</c:v>
                </c:pt>
                <c:pt idx="68">
                  <c:v>0.47903637594874438</c:v>
                </c:pt>
                <c:pt idx="69">
                  <c:v>0.40351946515179393</c:v>
                </c:pt>
                <c:pt idx="70">
                  <c:v>0.33659147619163687</c:v>
                </c:pt>
                <c:pt idx="71">
                  <c:v>0.2780253310833885</c:v>
                </c:pt>
                <c:pt idx="72">
                  <c:v>0.22740931383520244</c:v>
                </c:pt>
                <c:pt idx="73">
                  <c:v>0.18419369383167178</c:v>
                </c:pt>
                <c:pt idx="74">
                  <c:v>0.14773516965709602</c:v>
                </c:pt>
                <c:pt idx="75">
                  <c:v>0.11733718405786522</c:v>
                </c:pt>
                <c:pt idx="76">
                  <c:v>9.2284774658993138E-2</c:v>
                </c:pt>
                <c:pt idx="77">
                  <c:v>7.1873216174155E-2</c:v>
                </c:pt>
                <c:pt idx="78">
                  <c:v>5.5430236345068828E-2</c:v>
                </c:pt>
                <c:pt idx="79">
                  <c:v>4.2332021693114119E-2</c:v>
                </c:pt>
                <c:pt idx="80">
                  <c:v>3.2013556048221731E-2</c:v>
                </c:pt>
                <c:pt idx="81">
                  <c:v>2.3974052628797385E-2</c:v>
                </c:pt>
                <c:pt idx="82">
                  <c:v>1.7778356846062122E-2</c:v>
                </c:pt>
                <c:pt idx="83">
                  <c:v>1.3055226535508965E-2</c:v>
                </c:pt>
                <c:pt idx="84">
                  <c:v>9.4933574508168552E-3</c:v>
                </c:pt>
                <c:pt idx="85">
                  <c:v>6.8359343510150435E-3</c:v>
                </c:pt>
                <c:pt idx="86">
                  <c:v>4.8743707770303292E-3</c:v>
                </c:pt>
                <c:pt idx="87">
                  <c:v>3.4417701833093194E-3</c:v>
                </c:pt>
                <c:pt idx="88">
                  <c:v>2.4065107315868195E-3</c:v>
                </c:pt>
                <c:pt idx="89">
                  <c:v>1.6662354339221593E-3</c:v>
                </c:pt>
                <c:pt idx="90">
                  <c:v>1.1424246292848661E-3</c:v>
                </c:pt>
                <c:pt idx="91">
                  <c:v>7.7564210669596077E-4</c:v>
                </c:pt>
                <c:pt idx="92">
                  <c:v>5.214802024806921E-4</c:v>
                </c:pt>
                <c:pt idx="93">
                  <c:v>3.4718176129411115E-4</c:v>
                </c:pt>
                <c:pt idx="94">
                  <c:v>2.2888567190702992E-4</c:v>
                </c:pt>
                <c:pt idx="95">
                  <c:v>1.4942488843503265E-4</c:v>
                </c:pt>
                <c:pt idx="96">
                  <c:v>9.6598393060480444E-5</c:v>
                </c:pt>
                <c:pt idx="97">
                  <c:v>6.1838577655302986E-5</c:v>
                </c:pt>
                <c:pt idx="98">
                  <c:v>3.9200509362019486E-5</c:v>
                </c:pt>
                <c:pt idx="99">
                  <c:v>2.46074469131052E-5</c:v>
                </c:pt>
                <c:pt idx="100">
                  <c:v>1.5296216851420532E-5</c:v>
                </c:pt>
                <c:pt idx="101">
                  <c:v>9.4155162070123251E-6</c:v>
                </c:pt>
              </c:numCache>
            </c:numRef>
          </c:yVal>
          <c:smooth val="1"/>
          <c:extLst>
            <c:ext xmlns:c16="http://schemas.microsoft.com/office/drawing/2014/chart" uri="{C3380CC4-5D6E-409C-BE32-E72D297353CC}">
              <c16:uniqueId val="{00000000-1214-4671-B748-0740ABD73E5F}"/>
            </c:ext>
          </c:extLst>
        </c:ser>
        <c:dLbls>
          <c:showLegendKey val="0"/>
          <c:showVal val="0"/>
          <c:showCatName val="0"/>
          <c:showSerName val="0"/>
          <c:showPercent val="0"/>
          <c:showBubbleSize val="0"/>
        </c:dLbls>
        <c:axId val="1362332287"/>
        <c:axId val="1185241072"/>
      </c:scatterChart>
      <c:valAx>
        <c:axId val="1362332287"/>
        <c:scaling>
          <c:orientation val="minMax"/>
          <c:max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1185241072"/>
        <c:crosses val="autoZero"/>
        <c:crossBetween val="midCat"/>
        <c:majorUnit val="0.2"/>
      </c:valAx>
      <c:valAx>
        <c:axId val="118524107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US"/>
                  <a:t>Probability density</a:t>
                </a:r>
              </a:p>
            </c:rich>
          </c:tx>
          <c:layout>
            <c:manualLayout>
              <c:xMode val="edge"/>
              <c:yMode val="edge"/>
              <c:x val="2.1534984844021981E-2"/>
              <c:y val="0.33947305291501773"/>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numFmt formatCode="General" sourceLinked="1"/>
        <c:majorTickMark val="none"/>
        <c:minorTickMark val="none"/>
        <c:tickLblPos val="nextTo"/>
        <c:crossAx val="13623322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Calibri" panose="020F0502020204030204" pitchFamily="34" charset="0"/>
          <a:cs typeface="Calibri" panose="020F0502020204030204"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US" sz="1100"/>
              <a:t>Estimated H/T Ratio</a:t>
            </a:r>
          </a:p>
          <a:p>
            <a:pPr>
              <a:defRPr sz="1100"/>
            </a:pPr>
            <a:r>
              <a:rPr lang="en-US" sz="1100"/>
              <a:t>Mean=1</a:t>
            </a:r>
          </a:p>
          <a:p>
            <a:pPr>
              <a:defRPr sz="1100"/>
            </a:pPr>
            <a:r>
              <a:rPr lang="en-US" sz="1100"/>
              <a:t>Stdev=0.202</a:t>
            </a:r>
          </a:p>
          <a:p>
            <a:pPr>
              <a:defRPr sz="1100"/>
            </a:pPr>
            <a:r>
              <a:rPr lang="en-US" sz="1100"/>
              <a:t>(Sample #=100)</a:t>
            </a:r>
          </a:p>
        </c:rich>
      </c:tx>
      <c:layout>
        <c:manualLayout>
          <c:xMode val="edge"/>
          <c:yMode val="edge"/>
          <c:x val="0.71093107196585448"/>
          <c:y val="0.32629469595459265"/>
        </c:manualLayout>
      </c:layout>
      <c:overlay val="0"/>
      <c:spPr>
        <a:solidFill>
          <a:schemeClr val="bg1"/>
        </a:solid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autoTitleDeleted val="0"/>
    <c:plotArea>
      <c:layout>
        <c:manualLayout>
          <c:layoutTarget val="inner"/>
          <c:xMode val="edge"/>
          <c:yMode val="edge"/>
          <c:x val="0.13231890501059093"/>
          <c:y val="0.12162037037037036"/>
          <c:w val="0.8287644388892712"/>
          <c:h val="0.77135061242344705"/>
        </c:manualLayout>
      </c:layout>
      <c:scatterChart>
        <c:scatterStyle val="smoothMarker"/>
        <c:varyColors val="0"/>
        <c:ser>
          <c:idx val="0"/>
          <c:order val="0"/>
          <c:spPr>
            <a:ln w="19050" cap="rnd">
              <a:solidFill>
                <a:schemeClr val="accent1"/>
              </a:solidFill>
              <a:round/>
            </a:ln>
            <a:effectLst/>
          </c:spPr>
          <c:marker>
            <c:symbol val="none"/>
          </c:marker>
          <c:xVal>
            <c:numRef>
              <c:f>'Confidence intervals (2)'!$X$4:$X$105</c:f>
              <c:numCache>
                <c:formatCode>General</c:formatCode>
                <c:ptCount val="102"/>
                <c:pt idx="0">
                  <c:v>1.8080000000000001</c:v>
                </c:pt>
                <c:pt idx="1">
                  <c:v>0</c:v>
                </c:pt>
                <c:pt idx="2">
                  <c:v>0.02</c:v>
                </c:pt>
                <c:pt idx="3">
                  <c:v>0.04</c:v>
                </c:pt>
                <c:pt idx="4">
                  <c:v>0.06</c:v>
                </c:pt>
                <c:pt idx="5">
                  <c:v>0.08</c:v>
                </c:pt>
                <c:pt idx="6">
                  <c:v>0.1</c:v>
                </c:pt>
                <c:pt idx="7">
                  <c:v>0.12000000000000001</c:v>
                </c:pt>
                <c:pt idx="8">
                  <c:v>0.14000000000000001</c:v>
                </c:pt>
                <c:pt idx="9">
                  <c:v>0.16</c:v>
                </c:pt>
                <c:pt idx="10">
                  <c:v>0.18</c:v>
                </c:pt>
                <c:pt idx="11">
                  <c:v>0.19999999999999998</c:v>
                </c:pt>
                <c:pt idx="12">
                  <c:v>0.21999999999999997</c:v>
                </c:pt>
                <c:pt idx="13">
                  <c:v>0.23999999999999996</c:v>
                </c:pt>
                <c:pt idx="14">
                  <c:v>0.25999999999999995</c:v>
                </c:pt>
                <c:pt idx="15">
                  <c:v>0.27999999999999997</c:v>
                </c:pt>
                <c:pt idx="16">
                  <c:v>0.3</c:v>
                </c:pt>
                <c:pt idx="17">
                  <c:v>0.32</c:v>
                </c:pt>
                <c:pt idx="18">
                  <c:v>0.34</c:v>
                </c:pt>
                <c:pt idx="19">
                  <c:v>0.36000000000000004</c:v>
                </c:pt>
                <c:pt idx="20">
                  <c:v>0.38000000000000006</c:v>
                </c:pt>
                <c:pt idx="21">
                  <c:v>0.40000000000000008</c:v>
                </c:pt>
                <c:pt idx="22">
                  <c:v>0.4200000000000001</c:v>
                </c:pt>
                <c:pt idx="23">
                  <c:v>0.44000000000000011</c:v>
                </c:pt>
                <c:pt idx="24">
                  <c:v>0.46000000000000013</c:v>
                </c:pt>
                <c:pt idx="25">
                  <c:v>0.48000000000000015</c:v>
                </c:pt>
                <c:pt idx="26">
                  <c:v>0.50000000000000011</c:v>
                </c:pt>
                <c:pt idx="27">
                  <c:v>0.52000000000000013</c:v>
                </c:pt>
                <c:pt idx="28">
                  <c:v>0.54000000000000015</c:v>
                </c:pt>
                <c:pt idx="29">
                  <c:v>0.56000000000000016</c:v>
                </c:pt>
                <c:pt idx="30">
                  <c:v>0.58000000000000018</c:v>
                </c:pt>
                <c:pt idx="31">
                  <c:v>0.6000000000000002</c:v>
                </c:pt>
                <c:pt idx="32">
                  <c:v>0.62000000000000022</c:v>
                </c:pt>
                <c:pt idx="33">
                  <c:v>0.64000000000000024</c:v>
                </c:pt>
                <c:pt idx="34">
                  <c:v>0.66000000000000025</c:v>
                </c:pt>
                <c:pt idx="35">
                  <c:v>0.68000000000000027</c:v>
                </c:pt>
                <c:pt idx="36">
                  <c:v>0.70000000000000029</c:v>
                </c:pt>
                <c:pt idx="37">
                  <c:v>0.72000000000000031</c:v>
                </c:pt>
                <c:pt idx="38">
                  <c:v>0.74000000000000032</c:v>
                </c:pt>
                <c:pt idx="39">
                  <c:v>0.76000000000000034</c:v>
                </c:pt>
                <c:pt idx="40">
                  <c:v>0.78000000000000036</c:v>
                </c:pt>
                <c:pt idx="41">
                  <c:v>0.80000000000000038</c:v>
                </c:pt>
                <c:pt idx="42">
                  <c:v>0.8200000000000004</c:v>
                </c:pt>
                <c:pt idx="43">
                  <c:v>0.84000000000000041</c:v>
                </c:pt>
                <c:pt idx="44">
                  <c:v>0.86000000000000043</c:v>
                </c:pt>
                <c:pt idx="45">
                  <c:v>0.88000000000000045</c:v>
                </c:pt>
                <c:pt idx="46">
                  <c:v>0.90000000000000047</c:v>
                </c:pt>
                <c:pt idx="47">
                  <c:v>0.92000000000000048</c:v>
                </c:pt>
                <c:pt idx="48">
                  <c:v>0.9400000000000005</c:v>
                </c:pt>
                <c:pt idx="49">
                  <c:v>0.96000000000000052</c:v>
                </c:pt>
                <c:pt idx="50">
                  <c:v>0.98000000000000054</c:v>
                </c:pt>
                <c:pt idx="51">
                  <c:v>1.0000000000000004</c:v>
                </c:pt>
                <c:pt idx="52">
                  <c:v>1.0200000000000005</c:v>
                </c:pt>
                <c:pt idx="53">
                  <c:v>1.0400000000000005</c:v>
                </c:pt>
                <c:pt idx="54">
                  <c:v>1.0600000000000005</c:v>
                </c:pt>
                <c:pt idx="55">
                  <c:v>1.0800000000000005</c:v>
                </c:pt>
                <c:pt idx="56">
                  <c:v>1.1000000000000005</c:v>
                </c:pt>
                <c:pt idx="57">
                  <c:v>1.1200000000000006</c:v>
                </c:pt>
                <c:pt idx="58">
                  <c:v>1.1400000000000006</c:v>
                </c:pt>
                <c:pt idx="59">
                  <c:v>1.1600000000000006</c:v>
                </c:pt>
                <c:pt idx="60">
                  <c:v>1.1800000000000006</c:v>
                </c:pt>
                <c:pt idx="61">
                  <c:v>1.2000000000000006</c:v>
                </c:pt>
                <c:pt idx="62">
                  <c:v>1.2200000000000006</c:v>
                </c:pt>
                <c:pt idx="63">
                  <c:v>1.2400000000000007</c:v>
                </c:pt>
                <c:pt idx="64">
                  <c:v>1.2600000000000007</c:v>
                </c:pt>
                <c:pt idx="65">
                  <c:v>1.2800000000000007</c:v>
                </c:pt>
                <c:pt idx="66">
                  <c:v>1.3000000000000007</c:v>
                </c:pt>
                <c:pt idx="67">
                  <c:v>1.3200000000000007</c:v>
                </c:pt>
                <c:pt idx="68">
                  <c:v>1.3400000000000007</c:v>
                </c:pt>
                <c:pt idx="69">
                  <c:v>1.3600000000000008</c:v>
                </c:pt>
                <c:pt idx="70">
                  <c:v>1.3800000000000008</c:v>
                </c:pt>
                <c:pt idx="71">
                  <c:v>1.4000000000000008</c:v>
                </c:pt>
                <c:pt idx="72">
                  <c:v>1.4200000000000008</c:v>
                </c:pt>
                <c:pt idx="73">
                  <c:v>1.4400000000000008</c:v>
                </c:pt>
                <c:pt idx="74">
                  <c:v>1.4600000000000009</c:v>
                </c:pt>
                <c:pt idx="75">
                  <c:v>1.4800000000000009</c:v>
                </c:pt>
                <c:pt idx="76">
                  <c:v>1.5000000000000009</c:v>
                </c:pt>
                <c:pt idx="77">
                  <c:v>1.5200000000000009</c:v>
                </c:pt>
                <c:pt idx="78">
                  <c:v>1.5400000000000009</c:v>
                </c:pt>
                <c:pt idx="79">
                  <c:v>1.5600000000000009</c:v>
                </c:pt>
                <c:pt idx="80">
                  <c:v>1.580000000000001</c:v>
                </c:pt>
                <c:pt idx="81">
                  <c:v>1.600000000000001</c:v>
                </c:pt>
                <c:pt idx="82">
                  <c:v>1.620000000000001</c:v>
                </c:pt>
                <c:pt idx="83">
                  <c:v>1.640000000000001</c:v>
                </c:pt>
                <c:pt idx="84">
                  <c:v>1.660000000000001</c:v>
                </c:pt>
                <c:pt idx="85">
                  <c:v>1.680000000000001</c:v>
                </c:pt>
                <c:pt idx="86">
                  <c:v>1.7000000000000011</c:v>
                </c:pt>
                <c:pt idx="87">
                  <c:v>1.7200000000000011</c:v>
                </c:pt>
                <c:pt idx="88">
                  <c:v>1.7400000000000011</c:v>
                </c:pt>
                <c:pt idx="89">
                  <c:v>1.7600000000000011</c:v>
                </c:pt>
                <c:pt idx="90">
                  <c:v>1.7800000000000011</c:v>
                </c:pt>
                <c:pt idx="91">
                  <c:v>1.8000000000000012</c:v>
                </c:pt>
                <c:pt idx="92">
                  <c:v>1.8200000000000012</c:v>
                </c:pt>
                <c:pt idx="93">
                  <c:v>1.8400000000000012</c:v>
                </c:pt>
                <c:pt idx="94">
                  <c:v>1.8600000000000012</c:v>
                </c:pt>
                <c:pt idx="95">
                  <c:v>1.8800000000000012</c:v>
                </c:pt>
                <c:pt idx="96">
                  <c:v>1.9000000000000012</c:v>
                </c:pt>
                <c:pt idx="97">
                  <c:v>1.9200000000000013</c:v>
                </c:pt>
                <c:pt idx="98">
                  <c:v>1.9400000000000013</c:v>
                </c:pt>
                <c:pt idx="99">
                  <c:v>1.9600000000000013</c:v>
                </c:pt>
                <c:pt idx="100">
                  <c:v>1.9800000000000013</c:v>
                </c:pt>
                <c:pt idx="101">
                  <c:v>2.0000000000000013</c:v>
                </c:pt>
              </c:numCache>
            </c:numRef>
          </c:xVal>
          <c:yVal>
            <c:numRef>
              <c:f>'Confidence intervals (2)'!$Z$4:$Z$105</c:f>
              <c:numCache>
                <c:formatCode>General</c:formatCode>
                <c:ptCount val="102"/>
                <c:pt idx="1">
                  <c:v>3.7012470168890205E-7</c:v>
                </c:pt>
                <c:pt idx="2">
                  <c:v>6.1270193708328823E-7</c:v>
                </c:pt>
                <c:pt idx="3">
                  <c:v>1.0047068794345994E-6</c:v>
                </c:pt>
                <c:pt idx="4">
                  <c:v>1.6320123995032466E-6</c:v>
                </c:pt>
                <c:pt idx="5">
                  <c:v>2.6260727314009075E-6</c:v>
                </c:pt>
                <c:pt idx="6">
                  <c:v>4.1859572478672718E-6</c:v>
                </c:pt>
                <c:pt idx="7">
                  <c:v>6.6098769110689847E-6</c:v>
                </c:pt>
                <c:pt idx="8">
                  <c:v>1.0339715763837532E-5</c:v>
                </c:pt>
                <c:pt idx="9">
                  <c:v>1.6023112704132647E-5</c:v>
                </c:pt>
                <c:pt idx="10">
                  <c:v>2.4598860193794464E-5</c:v>
                </c:pt>
                <c:pt idx="11">
                  <c:v>3.7412781635740385E-5</c:v>
                </c:pt>
                <c:pt idx="12">
                  <c:v>5.6372776148993669E-5</c:v>
                </c:pt>
                <c:pt idx="13">
                  <c:v>8.4153300374454007E-5</c:v>
                </c:pt>
                <c:pt idx="14">
                  <c:v>1.244610680415112E-4</c:v>
                </c:pt>
                <c:pt idx="15">
                  <c:v>1.8237501156934084E-4</c:v>
                </c:pt>
                <c:pt idx="16">
                  <c:v>2.6477432877401074E-4</c:v>
                </c:pt>
                <c:pt idx="17">
                  <c:v>3.8086843484549368E-4</c:v>
                </c:pt>
                <c:pt idx="18">
                  <c:v>5.4284150565989358E-4</c:v>
                </c:pt>
                <c:pt idx="19">
                  <c:v>7.6662164843436338E-4</c:v>
                </c:pt>
                <c:pt idx="20">
                  <c:v>1.0727801789933498E-3</c:v>
                </c:pt>
                <c:pt idx="21">
                  <c:v>1.4875596673691878E-3</c:v>
                </c:pt>
                <c:pt idx="22">
                  <c:v>2.0440200730148764E-3</c:v>
                </c:pt>
                <c:pt idx="23">
                  <c:v>2.7832803234335451E-3</c:v>
                </c:pt>
                <c:pt idx="24">
                  <c:v>3.7558182208880715E-3</c:v>
                </c:pt>
                <c:pt idx="25">
                  <c:v>5.0227750154201853E-3</c:v>
                </c:pt>
                <c:pt idx="26">
                  <c:v>6.6571931394706759E-3</c:v>
                </c:pt>
                <c:pt idx="27">
                  <c:v>8.7450976304716977E-3</c:v>
                </c:pt>
                <c:pt idx="28">
                  <c:v>1.1386315229768931E-2</c:v>
                </c:pt>
                <c:pt idx="29">
                  <c:v>1.4694911930883318E-2</c:v>
                </c:pt>
                <c:pt idx="30">
                  <c:v>1.8799121976208647E-2</c:v>
                </c:pt>
                <c:pt idx="31">
                  <c:v>2.3840641147675853E-2</c:v>
                </c:pt>
                <c:pt idx="32">
                  <c:v>2.9973166681792354E-2</c:v>
                </c:pt>
                <c:pt idx="33">
                  <c:v>3.7360086858982643E-2</c:v>
                </c:pt>
                <c:pt idx="34">
                  <c:v>4.617125616773711E-2</c:v>
                </c:pt>
                <c:pt idx="35">
                  <c:v>5.6578836859383481E-2</c:v>
                </c:pt>
                <c:pt idx="36">
                  <c:v>6.8752243449413442E-2</c:v>
                </c:pt>
                <c:pt idx="37">
                  <c:v>8.2852290752824839E-2</c:v>
                </c:pt>
                <c:pt idx="38">
                  <c:v>9.9024714542682191E-2</c:v>
                </c:pt>
                <c:pt idx="39">
                  <c:v>0.11739330194005679</c:v>
                </c:pt>
                <c:pt idx="40">
                  <c:v>0.13805293041022235</c:v>
                </c:pt>
                <c:pt idx="41">
                  <c:v>0.16106286363228164</c:v>
                </c:pt>
                <c:pt idx="42">
                  <c:v>0.18644068363171129</c:v>
                </c:pt>
                <c:pt idx="43">
                  <c:v>0.21415724638980252</c:v>
                </c:pt>
                <c:pt idx="44">
                  <c:v>0.2441330291434165</c:v>
                </c:pt>
                <c:pt idx="45">
                  <c:v>0.27623619028201707</c:v>
                </c:pt>
                <c:pt idx="46">
                  <c:v>0.31028258808345527</c:v>
                </c:pt>
                <c:pt idx="47">
                  <c:v>0.34603790603194318</c:v>
                </c:pt>
                <c:pt idx="48">
                  <c:v>0.38322191611805412</c:v>
                </c:pt>
                <c:pt idx="49">
                  <c:v>0.42151478537824738</c:v>
                </c:pt>
                <c:pt idx="50">
                  <c:v>0.46056520444018179</c:v>
                </c:pt>
                <c:pt idx="51">
                  <c:v>0.50000000000000089</c:v>
                </c:pt>
                <c:pt idx="52">
                  <c:v>0.53943479555982021</c:v>
                </c:pt>
                <c:pt idx="53">
                  <c:v>0.57848521462175451</c:v>
                </c:pt>
                <c:pt idx="54">
                  <c:v>0.61677808388194777</c:v>
                </c:pt>
                <c:pt idx="55">
                  <c:v>0.6539620939680586</c:v>
                </c:pt>
                <c:pt idx="56">
                  <c:v>0.68971741191654656</c:v>
                </c:pt>
                <c:pt idx="57">
                  <c:v>0.7237638097179846</c:v>
                </c:pt>
                <c:pt idx="58">
                  <c:v>0.75586697085658505</c:v>
                </c:pt>
                <c:pt idx="59">
                  <c:v>0.78584275361019884</c:v>
                </c:pt>
                <c:pt idx="60">
                  <c:v>0.81355931636829004</c:v>
                </c:pt>
                <c:pt idx="61">
                  <c:v>0.8389371363677196</c:v>
                </c:pt>
                <c:pt idx="62">
                  <c:v>0.86194706958977874</c:v>
                </c:pt>
                <c:pt idx="63">
                  <c:v>0.88260669805994429</c:v>
                </c:pt>
                <c:pt idx="64">
                  <c:v>0.90097528545731875</c:v>
                </c:pt>
                <c:pt idx="65">
                  <c:v>0.91714770924717592</c:v>
                </c:pt>
                <c:pt idx="66">
                  <c:v>0.93124775655058722</c:v>
                </c:pt>
                <c:pt idx="67">
                  <c:v>0.94342116314061708</c:v>
                </c:pt>
                <c:pt idx="68">
                  <c:v>0.95382874383226335</c:v>
                </c:pt>
                <c:pt idx="69">
                  <c:v>0.96263991314101771</c:v>
                </c:pt>
                <c:pt idx="70">
                  <c:v>0.97002683331820794</c:v>
                </c:pt>
                <c:pt idx="71">
                  <c:v>0.97615935885232441</c:v>
                </c:pt>
                <c:pt idx="72">
                  <c:v>0.98120087802379152</c:v>
                </c:pt>
                <c:pt idx="73">
                  <c:v>0.98530508806911687</c:v>
                </c:pt>
                <c:pt idx="74">
                  <c:v>0.98861368477023126</c:v>
                </c:pt>
                <c:pt idx="75">
                  <c:v>0.9912549023695284</c:v>
                </c:pt>
                <c:pt idx="76">
                  <c:v>0.99334280686052945</c:v>
                </c:pt>
                <c:pt idx="77">
                  <c:v>0.99497722498457986</c:v>
                </c:pt>
                <c:pt idx="78">
                  <c:v>0.996244181779112</c:v>
                </c:pt>
                <c:pt idx="79">
                  <c:v>0.99721671967656655</c:v>
                </c:pt>
                <c:pt idx="80">
                  <c:v>0.99795597992698515</c:v>
                </c:pt>
                <c:pt idx="81">
                  <c:v>0.99851244033263087</c:v>
                </c:pt>
                <c:pt idx="82">
                  <c:v>0.99892721982100663</c:v>
                </c:pt>
                <c:pt idx="83">
                  <c:v>0.99923337835156567</c:v>
                </c:pt>
                <c:pt idx="84">
                  <c:v>0.99945715849434014</c:v>
                </c:pt>
                <c:pt idx="85">
                  <c:v>0.99961913156515447</c:v>
                </c:pt>
                <c:pt idx="86">
                  <c:v>0.99973522567122597</c:v>
                </c:pt>
                <c:pt idx="87">
                  <c:v>0.99981762498843063</c:v>
                </c:pt>
                <c:pt idx="88">
                  <c:v>0.99987553893195846</c:v>
                </c:pt>
                <c:pt idx="89">
                  <c:v>0.99991584669962552</c:v>
                </c:pt>
                <c:pt idx="90">
                  <c:v>0.99994362722385099</c:v>
                </c:pt>
                <c:pt idx="91">
                  <c:v>0.99996258721836428</c:v>
                </c:pt>
                <c:pt idx="92">
                  <c:v>0.99997540113980621</c:v>
                </c:pt>
                <c:pt idx="93">
                  <c:v>0.9999839768872959</c:v>
                </c:pt>
                <c:pt idx="94">
                  <c:v>0.99998966028423619</c:v>
                </c:pt>
                <c:pt idx="95">
                  <c:v>0.99999339012308897</c:v>
                </c:pt>
                <c:pt idx="96">
                  <c:v>0.99999581404275217</c:v>
                </c:pt>
                <c:pt idx="97">
                  <c:v>0.99999737392726862</c:v>
                </c:pt>
                <c:pt idx="98">
                  <c:v>0.99999836798760044</c:v>
                </c:pt>
                <c:pt idx="99">
                  <c:v>0.99999899529312053</c:v>
                </c:pt>
                <c:pt idx="100">
                  <c:v>0.99999938729806293</c:v>
                </c:pt>
                <c:pt idx="101">
                  <c:v>0.99999962987529833</c:v>
                </c:pt>
              </c:numCache>
            </c:numRef>
          </c:yVal>
          <c:smooth val="1"/>
          <c:extLst>
            <c:ext xmlns:c16="http://schemas.microsoft.com/office/drawing/2014/chart" uri="{C3380CC4-5D6E-409C-BE32-E72D297353CC}">
              <c16:uniqueId val="{00000000-A5B6-4211-9C38-BF21C5FE769C}"/>
            </c:ext>
          </c:extLst>
        </c:ser>
        <c:dLbls>
          <c:showLegendKey val="0"/>
          <c:showVal val="0"/>
          <c:showCatName val="0"/>
          <c:showSerName val="0"/>
          <c:showPercent val="0"/>
          <c:showBubbleSize val="0"/>
        </c:dLbls>
        <c:axId val="1362332287"/>
        <c:axId val="1185241072"/>
      </c:scatterChart>
      <c:valAx>
        <c:axId val="1362332287"/>
        <c:scaling>
          <c:orientation val="minMax"/>
          <c:max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1185241072"/>
        <c:crosses val="autoZero"/>
        <c:crossBetween val="midCat"/>
        <c:majorUnit val="0.2"/>
      </c:valAx>
      <c:valAx>
        <c:axId val="118524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r>
                  <a:rPr lang="en-US"/>
                  <a:t>Probability density</a:t>
                </a:r>
              </a:p>
            </c:rich>
          </c:tx>
          <c:layout>
            <c:manualLayout>
              <c:xMode val="edge"/>
              <c:yMode val="edge"/>
              <c:x val="2.9041494837251051E-2"/>
              <c:y val="0.37263355545056126"/>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en-US"/>
          </a:p>
        </c:txPr>
        <c:crossAx val="13623322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Calibri" panose="020F0502020204030204" pitchFamily="34" charset="0"/>
          <a:cs typeface="Calibri" panose="020F050202020403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36919F-2D0C-4AF7-8C13-BD0698C07C75}" type="doc">
      <dgm:prSet loTypeId="urn:microsoft.com/office/officeart/2016/7/layout/VerticalHollowActionList" loCatId="List" qsTypeId="urn:microsoft.com/office/officeart/2005/8/quickstyle/simple1" qsCatId="simple" csTypeId="urn:microsoft.com/office/officeart/2005/8/colors/colorful1" csCatId="colorful" phldr="1"/>
      <dgm:spPr/>
      <dgm:t>
        <a:bodyPr/>
        <a:lstStyle/>
        <a:p>
          <a:endParaRPr lang="en-US"/>
        </a:p>
      </dgm:t>
    </dgm:pt>
    <dgm:pt modelId="{E2FF8DC5-575B-41FD-91D1-66185B0F0EA0}">
      <dgm:prSet/>
      <dgm:spPr>
        <a:ln>
          <a:solidFill>
            <a:schemeClr val="accent5"/>
          </a:solidFill>
        </a:ln>
      </dgm:spPr>
      <dgm:t>
        <a:bodyPr/>
        <a:lstStyle/>
        <a:p>
          <a:r>
            <a:rPr lang="en-US" b="1" i="0" u="none" dirty="0">
              <a:solidFill>
                <a:schemeClr val="tx1"/>
              </a:solidFill>
              <a:latin typeface="Calibri" panose="020F0502020204030204" pitchFamily="34" charset="0"/>
              <a:cs typeface="Calibri" panose="020F0502020204030204" pitchFamily="34" charset="0"/>
            </a:rPr>
            <a:t>Goals</a:t>
          </a:r>
          <a:endParaRPr lang="en-US" dirty="0">
            <a:solidFill>
              <a:schemeClr val="tx1"/>
            </a:solidFill>
            <a:latin typeface="Calibri" panose="020F0502020204030204" pitchFamily="34" charset="0"/>
            <a:cs typeface="Calibri" panose="020F0502020204030204" pitchFamily="34" charset="0"/>
          </a:endParaRPr>
        </a:p>
      </dgm:t>
    </dgm:pt>
    <dgm:pt modelId="{0DB05170-5F2D-4197-A912-8216DDF25A31}" type="parTrans" cxnId="{8A538D71-BC28-4D8A-90DF-60115F9F316A}">
      <dgm:prSet/>
      <dgm:spPr/>
      <dgm:t>
        <a:bodyPr/>
        <a:lstStyle/>
        <a:p>
          <a:endParaRPr lang="en-US">
            <a:solidFill>
              <a:schemeClr val="tx1"/>
            </a:solidFill>
          </a:endParaRPr>
        </a:p>
      </dgm:t>
    </dgm:pt>
    <dgm:pt modelId="{257AE15A-2CF5-4AAC-9B1A-CC76A764DE22}" type="sibTrans" cxnId="{8A538D71-BC28-4D8A-90DF-60115F9F316A}">
      <dgm:prSet/>
      <dgm:spPr/>
      <dgm:t>
        <a:bodyPr/>
        <a:lstStyle/>
        <a:p>
          <a:endParaRPr lang="en-US">
            <a:solidFill>
              <a:schemeClr val="tx1"/>
            </a:solidFill>
          </a:endParaRPr>
        </a:p>
      </dgm:t>
    </dgm:pt>
    <dgm:pt modelId="{0825AFE0-FD54-D043-A02F-85BE8ABBD481}">
      <dgm:prSet/>
      <dgm:spPr>
        <a:solidFill>
          <a:srgbClr val="00B0F0"/>
        </a:solidFill>
        <a:ln>
          <a:solidFill>
            <a:schemeClr val="accent5"/>
          </a:solidFill>
        </a:ln>
      </dgm:spPr>
      <dgm:t>
        <a:bodyPr/>
        <a:lstStyle/>
        <a:p>
          <a:pPr>
            <a:buFont typeface="Arial" panose="020B0604020202020204" pitchFamily="34" charset="0"/>
            <a:buChar char="•"/>
          </a:pPr>
          <a:r>
            <a:rPr lang="en-US" b="0" i="0" u="none" dirty="0">
              <a:solidFill>
                <a:schemeClr val="tx1"/>
              </a:solidFill>
              <a:latin typeface="Calibri" panose="020F0502020204030204" pitchFamily="34" charset="0"/>
              <a:cs typeface="Calibri" panose="020F0502020204030204" pitchFamily="34" charset="0"/>
            </a:rPr>
            <a:t>Set objectives that align with the long-term strategy.</a:t>
          </a:r>
        </a:p>
      </dgm:t>
    </dgm:pt>
    <dgm:pt modelId="{5B5E0303-5693-174B-837E-D30072775462}" type="parTrans" cxnId="{A1D341C7-B118-AB42-BF9D-E8339C9DAAA7}">
      <dgm:prSet/>
      <dgm:spPr/>
      <dgm:t>
        <a:bodyPr/>
        <a:lstStyle/>
        <a:p>
          <a:endParaRPr lang="en-US">
            <a:solidFill>
              <a:schemeClr val="tx1"/>
            </a:solidFill>
          </a:endParaRPr>
        </a:p>
      </dgm:t>
    </dgm:pt>
    <dgm:pt modelId="{AB078FE9-2B56-8241-8DA7-5977521455C5}" type="sibTrans" cxnId="{A1D341C7-B118-AB42-BF9D-E8339C9DAAA7}">
      <dgm:prSet/>
      <dgm:spPr/>
      <dgm:t>
        <a:bodyPr/>
        <a:lstStyle/>
        <a:p>
          <a:endParaRPr lang="en-US">
            <a:solidFill>
              <a:schemeClr val="tx1"/>
            </a:solidFill>
          </a:endParaRPr>
        </a:p>
      </dgm:t>
    </dgm:pt>
    <dgm:pt modelId="{13881889-E717-074A-8B0A-6D2EB32F7D4F}">
      <dgm:prSet/>
      <dgm:spPr>
        <a:ln>
          <a:solidFill>
            <a:schemeClr val="accent6"/>
          </a:solidFill>
        </a:ln>
      </dgm:spPr>
      <dgm:t>
        <a:bodyPr/>
        <a:lstStyle/>
        <a:p>
          <a:r>
            <a:rPr lang="en-US" b="1" i="0" u="none" dirty="0">
              <a:solidFill>
                <a:schemeClr val="tx1"/>
              </a:solidFill>
              <a:latin typeface="Calibri" panose="020F0502020204030204" pitchFamily="34" charset="0"/>
              <a:cs typeface="Calibri" panose="020F0502020204030204" pitchFamily="34" charset="0"/>
            </a:rPr>
            <a:t>Technology</a:t>
          </a:r>
        </a:p>
      </dgm:t>
    </dgm:pt>
    <dgm:pt modelId="{7E2FEF7C-24AE-004D-A612-F116B9083089}" type="parTrans" cxnId="{F8AA3423-5CD5-CE4F-8EA6-1B74C0A1AFF4}">
      <dgm:prSet/>
      <dgm:spPr/>
      <dgm:t>
        <a:bodyPr/>
        <a:lstStyle/>
        <a:p>
          <a:endParaRPr lang="en-US">
            <a:solidFill>
              <a:schemeClr val="tx1"/>
            </a:solidFill>
          </a:endParaRPr>
        </a:p>
      </dgm:t>
    </dgm:pt>
    <dgm:pt modelId="{369AD229-CC8E-0241-8907-F455D38F1755}" type="sibTrans" cxnId="{F8AA3423-5CD5-CE4F-8EA6-1B74C0A1AFF4}">
      <dgm:prSet/>
      <dgm:spPr/>
      <dgm:t>
        <a:bodyPr/>
        <a:lstStyle/>
        <a:p>
          <a:endParaRPr lang="en-US">
            <a:solidFill>
              <a:schemeClr val="tx1"/>
            </a:solidFill>
          </a:endParaRPr>
        </a:p>
      </dgm:t>
    </dgm:pt>
    <dgm:pt modelId="{77BB3104-FDF5-7C45-ABB2-D38A94F27EB7}">
      <dgm:prSet/>
      <dgm:spPr>
        <a:solidFill>
          <a:schemeClr val="accent6"/>
        </a:solidFill>
        <a:ln>
          <a:solidFill>
            <a:schemeClr val="accent6"/>
          </a:solidFill>
        </a:ln>
      </dgm:spPr>
      <dgm:t>
        <a:bodyPr/>
        <a:lstStyle/>
        <a:p>
          <a:pPr>
            <a:buFont typeface="Arial" panose="020B0604020202020204" pitchFamily="34" charset="0"/>
            <a:buChar char="•"/>
          </a:pPr>
          <a:r>
            <a:rPr lang="en-US" b="0" i="0" u="none" dirty="0">
              <a:solidFill>
                <a:schemeClr val="tx1"/>
              </a:solidFill>
              <a:latin typeface="Calibri" panose="020F0502020204030204" pitchFamily="34" charset="0"/>
              <a:cs typeface="Calibri" panose="020F0502020204030204" pitchFamily="34" charset="0"/>
            </a:rPr>
            <a:t>Evaluate choices with data analytics tools.</a:t>
          </a:r>
        </a:p>
      </dgm:t>
    </dgm:pt>
    <dgm:pt modelId="{6A1CA449-0CE5-C347-B08D-28A1C0BE8EE1}" type="parTrans" cxnId="{90FC8BA3-35E8-FA4C-9E1D-F015826C08BB}">
      <dgm:prSet/>
      <dgm:spPr/>
      <dgm:t>
        <a:bodyPr/>
        <a:lstStyle/>
        <a:p>
          <a:endParaRPr lang="en-US">
            <a:solidFill>
              <a:schemeClr val="tx1"/>
            </a:solidFill>
          </a:endParaRPr>
        </a:p>
      </dgm:t>
    </dgm:pt>
    <dgm:pt modelId="{53938604-3906-7F43-90E8-831802E785F0}" type="sibTrans" cxnId="{90FC8BA3-35E8-FA4C-9E1D-F015826C08BB}">
      <dgm:prSet/>
      <dgm:spPr/>
      <dgm:t>
        <a:bodyPr/>
        <a:lstStyle/>
        <a:p>
          <a:endParaRPr lang="en-US">
            <a:solidFill>
              <a:schemeClr val="tx1"/>
            </a:solidFill>
          </a:endParaRPr>
        </a:p>
      </dgm:t>
    </dgm:pt>
    <dgm:pt modelId="{B0B4EF74-4A16-7542-A638-80CBE564A018}">
      <dgm:prSet/>
      <dgm:spPr>
        <a:ln>
          <a:solidFill>
            <a:schemeClr val="accent2"/>
          </a:solidFill>
        </a:ln>
      </dgm:spPr>
      <dgm:t>
        <a:bodyPr/>
        <a:lstStyle/>
        <a:p>
          <a:r>
            <a:rPr lang="en-US" b="1" i="0" u="none">
              <a:solidFill>
                <a:schemeClr val="tx1"/>
              </a:solidFill>
              <a:latin typeface="Calibri" panose="020F0502020204030204" pitchFamily="34" charset="0"/>
              <a:cs typeface="Calibri" panose="020F0502020204030204" pitchFamily="34" charset="0"/>
            </a:rPr>
            <a:t>Judgment</a:t>
          </a:r>
        </a:p>
      </dgm:t>
    </dgm:pt>
    <dgm:pt modelId="{9A46E070-1F43-DD44-AAA4-6845F260E686}" type="parTrans" cxnId="{1AC8059F-04E5-5B45-84C3-9F0546D71943}">
      <dgm:prSet/>
      <dgm:spPr/>
      <dgm:t>
        <a:bodyPr/>
        <a:lstStyle/>
        <a:p>
          <a:endParaRPr lang="en-US">
            <a:solidFill>
              <a:schemeClr val="tx1"/>
            </a:solidFill>
          </a:endParaRPr>
        </a:p>
      </dgm:t>
    </dgm:pt>
    <dgm:pt modelId="{B1E49F96-A65B-3E4F-9A36-45E52F5746F4}" type="sibTrans" cxnId="{1AC8059F-04E5-5B45-84C3-9F0546D71943}">
      <dgm:prSet/>
      <dgm:spPr/>
      <dgm:t>
        <a:bodyPr/>
        <a:lstStyle/>
        <a:p>
          <a:endParaRPr lang="en-US">
            <a:solidFill>
              <a:schemeClr val="tx1"/>
            </a:solidFill>
          </a:endParaRPr>
        </a:p>
      </dgm:t>
    </dgm:pt>
    <dgm:pt modelId="{6119DCF0-4CE5-0740-AC96-490EA1114920}">
      <dgm:prSet/>
      <dgm:spPr>
        <a:solidFill>
          <a:schemeClr val="accent2"/>
        </a:solidFill>
        <a:ln>
          <a:solidFill>
            <a:schemeClr val="accent2"/>
          </a:solidFill>
        </a:ln>
      </dgm:spPr>
      <dgm:t>
        <a:bodyPr/>
        <a:lstStyle/>
        <a:p>
          <a:pPr>
            <a:buFont typeface="Arial" panose="020B0604020202020204" pitchFamily="34" charset="0"/>
            <a:buChar char="•"/>
          </a:pPr>
          <a:r>
            <a:rPr lang="en-US" b="0" i="0" u="none" dirty="0">
              <a:solidFill>
                <a:schemeClr val="tx1"/>
              </a:solidFill>
              <a:latin typeface="Calibri" panose="020F0502020204030204" pitchFamily="34" charset="0"/>
              <a:cs typeface="Calibri" panose="020F0502020204030204" pitchFamily="34" charset="0"/>
            </a:rPr>
            <a:t>Integrate human intuition with data-driven insights to make informed decisions.</a:t>
          </a:r>
        </a:p>
      </dgm:t>
    </dgm:pt>
    <dgm:pt modelId="{BFC74ACE-736A-B14F-A43E-34163528440B}" type="parTrans" cxnId="{23F15866-13C7-1B48-9E5E-8273DA1DAFEF}">
      <dgm:prSet/>
      <dgm:spPr/>
      <dgm:t>
        <a:bodyPr/>
        <a:lstStyle/>
        <a:p>
          <a:endParaRPr lang="en-US">
            <a:solidFill>
              <a:schemeClr val="tx1"/>
            </a:solidFill>
          </a:endParaRPr>
        </a:p>
      </dgm:t>
    </dgm:pt>
    <dgm:pt modelId="{A7304F5A-90FA-FC43-ACAD-9FCA69CE63AF}" type="sibTrans" cxnId="{23F15866-13C7-1B48-9E5E-8273DA1DAFEF}">
      <dgm:prSet/>
      <dgm:spPr/>
      <dgm:t>
        <a:bodyPr/>
        <a:lstStyle/>
        <a:p>
          <a:endParaRPr lang="en-US">
            <a:solidFill>
              <a:schemeClr val="tx1"/>
            </a:solidFill>
          </a:endParaRPr>
        </a:p>
      </dgm:t>
    </dgm:pt>
    <dgm:pt modelId="{70FFD003-87F8-5147-9AE1-1BEEE256D4DA}" type="pres">
      <dgm:prSet presAssocID="{B936919F-2D0C-4AF7-8C13-BD0698C07C75}" presName="Name0" presStyleCnt="0">
        <dgm:presLayoutVars>
          <dgm:dir/>
          <dgm:animLvl val="lvl"/>
          <dgm:resizeHandles val="exact"/>
        </dgm:presLayoutVars>
      </dgm:prSet>
      <dgm:spPr/>
    </dgm:pt>
    <dgm:pt modelId="{115F3A37-EACF-1E45-AF3F-EE62375883F3}" type="pres">
      <dgm:prSet presAssocID="{E2FF8DC5-575B-41FD-91D1-66185B0F0EA0}" presName="linNode" presStyleCnt="0"/>
      <dgm:spPr/>
    </dgm:pt>
    <dgm:pt modelId="{74DBCB29-D321-F747-BE9E-7F96792F01E7}" type="pres">
      <dgm:prSet presAssocID="{E2FF8DC5-575B-41FD-91D1-66185B0F0EA0}" presName="parentText" presStyleLbl="solidFgAcc1" presStyleIdx="0" presStyleCnt="3">
        <dgm:presLayoutVars>
          <dgm:chMax val="1"/>
          <dgm:bulletEnabled/>
        </dgm:presLayoutVars>
      </dgm:prSet>
      <dgm:spPr/>
    </dgm:pt>
    <dgm:pt modelId="{26E9B50C-4D90-3645-AF12-C81B839002BC}" type="pres">
      <dgm:prSet presAssocID="{E2FF8DC5-575B-41FD-91D1-66185B0F0EA0}" presName="descendantText" presStyleLbl="alignNode1" presStyleIdx="0" presStyleCnt="3">
        <dgm:presLayoutVars>
          <dgm:bulletEnabled/>
        </dgm:presLayoutVars>
      </dgm:prSet>
      <dgm:spPr/>
    </dgm:pt>
    <dgm:pt modelId="{DDCA18A7-468C-374C-82C1-41E55E7119E9}" type="pres">
      <dgm:prSet presAssocID="{257AE15A-2CF5-4AAC-9B1A-CC76A764DE22}" presName="sp" presStyleCnt="0"/>
      <dgm:spPr/>
    </dgm:pt>
    <dgm:pt modelId="{6CA7D996-6507-8B45-8E78-46A869278074}" type="pres">
      <dgm:prSet presAssocID="{13881889-E717-074A-8B0A-6D2EB32F7D4F}" presName="linNode" presStyleCnt="0"/>
      <dgm:spPr/>
    </dgm:pt>
    <dgm:pt modelId="{64AEE46E-C8FF-5A42-A75C-252CE52343F9}" type="pres">
      <dgm:prSet presAssocID="{13881889-E717-074A-8B0A-6D2EB32F7D4F}" presName="parentText" presStyleLbl="solidFgAcc1" presStyleIdx="1" presStyleCnt="3">
        <dgm:presLayoutVars>
          <dgm:chMax val="1"/>
          <dgm:bulletEnabled/>
        </dgm:presLayoutVars>
      </dgm:prSet>
      <dgm:spPr/>
    </dgm:pt>
    <dgm:pt modelId="{4E82750E-EFB3-1A4E-B9B6-15267FDF1942}" type="pres">
      <dgm:prSet presAssocID="{13881889-E717-074A-8B0A-6D2EB32F7D4F}" presName="descendantText" presStyleLbl="alignNode1" presStyleIdx="1" presStyleCnt="3">
        <dgm:presLayoutVars>
          <dgm:bulletEnabled/>
        </dgm:presLayoutVars>
      </dgm:prSet>
      <dgm:spPr/>
    </dgm:pt>
    <dgm:pt modelId="{1A6490CC-94ED-3443-A1A3-7C645FD78A83}" type="pres">
      <dgm:prSet presAssocID="{369AD229-CC8E-0241-8907-F455D38F1755}" presName="sp" presStyleCnt="0"/>
      <dgm:spPr/>
    </dgm:pt>
    <dgm:pt modelId="{F007CB40-C5C4-CA45-A0E7-A8C39C737B59}" type="pres">
      <dgm:prSet presAssocID="{B0B4EF74-4A16-7542-A638-80CBE564A018}" presName="linNode" presStyleCnt="0"/>
      <dgm:spPr/>
    </dgm:pt>
    <dgm:pt modelId="{B07D8BE2-5904-814E-BAAA-E8109BDD1E4E}" type="pres">
      <dgm:prSet presAssocID="{B0B4EF74-4A16-7542-A638-80CBE564A018}" presName="parentText" presStyleLbl="solidFgAcc1" presStyleIdx="2" presStyleCnt="3">
        <dgm:presLayoutVars>
          <dgm:chMax val="1"/>
          <dgm:bulletEnabled/>
        </dgm:presLayoutVars>
      </dgm:prSet>
      <dgm:spPr/>
    </dgm:pt>
    <dgm:pt modelId="{B8289E6C-C06C-2F45-9303-29AE95017E63}" type="pres">
      <dgm:prSet presAssocID="{B0B4EF74-4A16-7542-A638-80CBE564A018}" presName="descendantText" presStyleLbl="alignNode1" presStyleIdx="2" presStyleCnt="3">
        <dgm:presLayoutVars>
          <dgm:bulletEnabled/>
        </dgm:presLayoutVars>
      </dgm:prSet>
      <dgm:spPr/>
    </dgm:pt>
  </dgm:ptLst>
  <dgm:cxnLst>
    <dgm:cxn modelId="{CE686005-4A47-7143-B887-D94B04DD03A3}" type="presOf" srcId="{B936919F-2D0C-4AF7-8C13-BD0698C07C75}" destId="{70FFD003-87F8-5147-9AE1-1BEEE256D4DA}" srcOrd="0" destOrd="0" presId="urn:microsoft.com/office/officeart/2016/7/layout/VerticalHollowActionList"/>
    <dgm:cxn modelId="{F8AA3423-5CD5-CE4F-8EA6-1B74C0A1AFF4}" srcId="{B936919F-2D0C-4AF7-8C13-BD0698C07C75}" destId="{13881889-E717-074A-8B0A-6D2EB32F7D4F}" srcOrd="1" destOrd="0" parTransId="{7E2FEF7C-24AE-004D-A612-F116B9083089}" sibTransId="{369AD229-CC8E-0241-8907-F455D38F1755}"/>
    <dgm:cxn modelId="{535A024D-9866-1C43-8211-33AB9964E3D4}" type="presOf" srcId="{6119DCF0-4CE5-0740-AC96-490EA1114920}" destId="{B8289E6C-C06C-2F45-9303-29AE95017E63}" srcOrd="0" destOrd="0" presId="urn:microsoft.com/office/officeart/2016/7/layout/VerticalHollowActionList"/>
    <dgm:cxn modelId="{23F15866-13C7-1B48-9E5E-8273DA1DAFEF}" srcId="{B0B4EF74-4A16-7542-A638-80CBE564A018}" destId="{6119DCF0-4CE5-0740-AC96-490EA1114920}" srcOrd="0" destOrd="0" parTransId="{BFC74ACE-736A-B14F-A43E-34163528440B}" sibTransId="{A7304F5A-90FA-FC43-ACAD-9FCA69CE63AF}"/>
    <dgm:cxn modelId="{8A538D71-BC28-4D8A-90DF-60115F9F316A}" srcId="{B936919F-2D0C-4AF7-8C13-BD0698C07C75}" destId="{E2FF8DC5-575B-41FD-91D1-66185B0F0EA0}" srcOrd="0" destOrd="0" parTransId="{0DB05170-5F2D-4197-A912-8216DDF25A31}" sibTransId="{257AE15A-2CF5-4AAC-9B1A-CC76A764DE22}"/>
    <dgm:cxn modelId="{1AC8059F-04E5-5B45-84C3-9F0546D71943}" srcId="{B936919F-2D0C-4AF7-8C13-BD0698C07C75}" destId="{B0B4EF74-4A16-7542-A638-80CBE564A018}" srcOrd="2" destOrd="0" parTransId="{9A46E070-1F43-DD44-AAA4-6845F260E686}" sibTransId="{B1E49F96-A65B-3E4F-9A36-45E52F5746F4}"/>
    <dgm:cxn modelId="{90FC8BA3-35E8-FA4C-9E1D-F015826C08BB}" srcId="{13881889-E717-074A-8B0A-6D2EB32F7D4F}" destId="{77BB3104-FDF5-7C45-ABB2-D38A94F27EB7}" srcOrd="0" destOrd="0" parTransId="{6A1CA449-0CE5-C347-B08D-28A1C0BE8EE1}" sibTransId="{53938604-3906-7F43-90E8-831802E785F0}"/>
    <dgm:cxn modelId="{312FDEAA-A064-0F44-89CA-93CF32D80665}" type="presOf" srcId="{0825AFE0-FD54-D043-A02F-85BE8ABBD481}" destId="{26E9B50C-4D90-3645-AF12-C81B839002BC}" srcOrd="0" destOrd="0" presId="urn:microsoft.com/office/officeart/2016/7/layout/VerticalHollowActionList"/>
    <dgm:cxn modelId="{EAFEBDB4-57C1-9C4B-B98A-704D093D9C17}" type="presOf" srcId="{77BB3104-FDF5-7C45-ABB2-D38A94F27EB7}" destId="{4E82750E-EFB3-1A4E-B9B6-15267FDF1942}" srcOrd="0" destOrd="0" presId="urn:microsoft.com/office/officeart/2016/7/layout/VerticalHollowActionList"/>
    <dgm:cxn modelId="{39E3B8B9-D060-7F46-864B-F0A9C0ABE64F}" type="presOf" srcId="{E2FF8DC5-575B-41FD-91D1-66185B0F0EA0}" destId="{74DBCB29-D321-F747-BE9E-7F96792F01E7}" srcOrd="0" destOrd="0" presId="urn:microsoft.com/office/officeart/2016/7/layout/VerticalHollowActionList"/>
    <dgm:cxn modelId="{EB09C7C2-91CF-714B-A9E6-22D654667DCF}" type="presOf" srcId="{13881889-E717-074A-8B0A-6D2EB32F7D4F}" destId="{64AEE46E-C8FF-5A42-A75C-252CE52343F9}" srcOrd="0" destOrd="0" presId="urn:microsoft.com/office/officeart/2016/7/layout/VerticalHollowActionList"/>
    <dgm:cxn modelId="{A1D341C7-B118-AB42-BF9D-E8339C9DAAA7}" srcId="{E2FF8DC5-575B-41FD-91D1-66185B0F0EA0}" destId="{0825AFE0-FD54-D043-A02F-85BE8ABBD481}" srcOrd="0" destOrd="0" parTransId="{5B5E0303-5693-174B-837E-D30072775462}" sibTransId="{AB078FE9-2B56-8241-8DA7-5977521455C5}"/>
    <dgm:cxn modelId="{24DDCAE3-4137-7243-88E9-1ADE168D7343}" type="presOf" srcId="{B0B4EF74-4A16-7542-A638-80CBE564A018}" destId="{B07D8BE2-5904-814E-BAAA-E8109BDD1E4E}" srcOrd="0" destOrd="0" presId="urn:microsoft.com/office/officeart/2016/7/layout/VerticalHollowActionList"/>
    <dgm:cxn modelId="{64965038-7836-B64E-84CA-9626F8003E13}" type="presParOf" srcId="{70FFD003-87F8-5147-9AE1-1BEEE256D4DA}" destId="{115F3A37-EACF-1E45-AF3F-EE62375883F3}" srcOrd="0" destOrd="0" presId="urn:microsoft.com/office/officeart/2016/7/layout/VerticalHollowActionList"/>
    <dgm:cxn modelId="{506993B4-DC8B-894A-A464-B34380866ED0}" type="presParOf" srcId="{115F3A37-EACF-1E45-AF3F-EE62375883F3}" destId="{74DBCB29-D321-F747-BE9E-7F96792F01E7}" srcOrd="0" destOrd="0" presId="urn:microsoft.com/office/officeart/2016/7/layout/VerticalHollowActionList"/>
    <dgm:cxn modelId="{7491D43C-3E53-9B44-BA18-6337C19AD133}" type="presParOf" srcId="{115F3A37-EACF-1E45-AF3F-EE62375883F3}" destId="{26E9B50C-4D90-3645-AF12-C81B839002BC}" srcOrd="1" destOrd="0" presId="urn:microsoft.com/office/officeart/2016/7/layout/VerticalHollowActionList"/>
    <dgm:cxn modelId="{1DDD2E8E-868E-1F4C-AE7D-8BEBDC5DFC7F}" type="presParOf" srcId="{70FFD003-87F8-5147-9AE1-1BEEE256D4DA}" destId="{DDCA18A7-468C-374C-82C1-41E55E7119E9}" srcOrd="1" destOrd="0" presId="urn:microsoft.com/office/officeart/2016/7/layout/VerticalHollowActionList"/>
    <dgm:cxn modelId="{CD4D91C6-C152-524B-AA81-DD6B82968D63}" type="presParOf" srcId="{70FFD003-87F8-5147-9AE1-1BEEE256D4DA}" destId="{6CA7D996-6507-8B45-8E78-46A869278074}" srcOrd="2" destOrd="0" presId="urn:microsoft.com/office/officeart/2016/7/layout/VerticalHollowActionList"/>
    <dgm:cxn modelId="{D6CB1927-EDC2-D247-AF5C-D5302501574C}" type="presParOf" srcId="{6CA7D996-6507-8B45-8E78-46A869278074}" destId="{64AEE46E-C8FF-5A42-A75C-252CE52343F9}" srcOrd="0" destOrd="0" presId="urn:microsoft.com/office/officeart/2016/7/layout/VerticalHollowActionList"/>
    <dgm:cxn modelId="{FC4938F8-7F9B-6E4E-9FF3-2027E066760E}" type="presParOf" srcId="{6CA7D996-6507-8B45-8E78-46A869278074}" destId="{4E82750E-EFB3-1A4E-B9B6-15267FDF1942}" srcOrd="1" destOrd="0" presId="urn:microsoft.com/office/officeart/2016/7/layout/VerticalHollowActionList"/>
    <dgm:cxn modelId="{5E226BAE-E0A2-F04B-9D79-058DDB5BBC6E}" type="presParOf" srcId="{70FFD003-87F8-5147-9AE1-1BEEE256D4DA}" destId="{1A6490CC-94ED-3443-A1A3-7C645FD78A83}" srcOrd="3" destOrd="0" presId="urn:microsoft.com/office/officeart/2016/7/layout/VerticalHollowActionList"/>
    <dgm:cxn modelId="{599E3909-E8DD-6941-9DFD-0C36A0BD15CB}" type="presParOf" srcId="{70FFD003-87F8-5147-9AE1-1BEEE256D4DA}" destId="{F007CB40-C5C4-CA45-A0E7-A8C39C737B59}" srcOrd="4" destOrd="0" presId="urn:microsoft.com/office/officeart/2016/7/layout/VerticalHollowActionList"/>
    <dgm:cxn modelId="{166E0472-318F-BE42-8466-0A0ED138113E}" type="presParOf" srcId="{F007CB40-C5C4-CA45-A0E7-A8C39C737B59}" destId="{B07D8BE2-5904-814E-BAAA-E8109BDD1E4E}" srcOrd="0" destOrd="0" presId="urn:microsoft.com/office/officeart/2016/7/layout/VerticalHollowActionList"/>
    <dgm:cxn modelId="{826D504D-EDC5-6F49-B17D-CF242E411830}" type="presParOf" srcId="{F007CB40-C5C4-CA45-A0E7-A8C39C737B59}" destId="{B8289E6C-C06C-2F45-9303-29AE95017E63}" srcOrd="1" destOrd="0" presId="urn:microsoft.com/office/officeart/2016/7/layout/VerticalHollowAction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E9B50C-4D90-3645-AF12-C81B839002BC}">
      <dsp:nvSpPr>
        <dsp:cNvPr id="0" name=""/>
        <dsp:cNvSpPr/>
      </dsp:nvSpPr>
      <dsp:spPr>
        <a:xfrm>
          <a:off x="1200531" y="415"/>
          <a:ext cx="4802124" cy="425376"/>
        </a:xfrm>
        <a:prstGeom prst="rect">
          <a:avLst/>
        </a:prstGeom>
        <a:solidFill>
          <a:srgbClr val="00B0F0"/>
        </a:solidFill>
        <a:ln w="12700" cap="flat" cmpd="sng" algn="ctr">
          <a:solidFill>
            <a:schemeClr val="accent5"/>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3175" tIns="108046" rIns="93175" bIns="108046" numCol="1" spcCol="1270" anchor="ctr" anchorCtr="0">
          <a:noAutofit/>
        </a:bodyPr>
        <a:lstStyle/>
        <a:p>
          <a:pPr marL="0" lvl="0" indent="0" algn="l" defTabSz="488950">
            <a:lnSpc>
              <a:spcPct val="90000"/>
            </a:lnSpc>
            <a:spcBef>
              <a:spcPct val="0"/>
            </a:spcBef>
            <a:spcAft>
              <a:spcPct val="35000"/>
            </a:spcAft>
            <a:buFont typeface="Arial" panose="020B0604020202020204" pitchFamily="34" charset="0"/>
            <a:buNone/>
          </a:pPr>
          <a:r>
            <a:rPr lang="en-US" sz="1100" b="0" i="0" u="none" kern="1200" dirty="0">
              <a:solidFill>
                <a:schemeClr val="tx1"/>
              </a:solidFill>
              <a:latin typeface="Calibri" panose="020F0502020204030204" pitchFamily="34" charset="0"/>
              <a:cs typeface="Calibri" panose="020F0502020204030204" pitchFamily="34" charset="0"/>
            </a:rPr>
            <a:t>Set objectives that align with the long-term strategy.</a:t>
          </a:r>
        </a:p>
      </dsp:txBody>
      <dsp:txXfrm>
        <a:off x="1200531" y="415"/>
        <a:ext cx="4802124" cy="425376"/>
      </dsp:txXfrm>
    </dsp:sp>
    <dsp:sp modelId="{74DBCB29-D321-F747-BE9E-7F96792F01E7}">
      <dsp:nvSpPr>
        <dsp:cNvPr id="0" name=""/>
        <dsp:cNvSpPr/>
      </dsp:nvSpPr>
      <dsp:spPr>
        <a:xfrm>
          <a:off x="0" y="415"/>
          <a:ext cx="1200531" cy="425376"/>
        </a:xfrm>
        <a:prstGeom prst="rect">
          <a:avLst/>
        </a:prstGeom>
        <a:solidFill>
          <a:schemeClr val="lt1">
            <a:hueOff val="0"/>
            <a:satOff val="0"/>
            <a:lumOff val="0"/>
            <a:alphaOff val="0"/>
          </a:schemeClr>
        </a:solidFill>
        <a:ln w="12700" cap="flat" cmpd="sng" algn="ctr">
          <a:solidFill>
            <a:schemeClr val="accent5"/>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28" tIns="42018" rIns="63528" bIns="42018" numCol="1" spcCol="1270" anchor="ctr" anchorCtr="0">
          <a:noAutofit/>
        </a:bodyPr>
        <a:lstStyle/>
        <a:p>
          <a:pPr marL="0" lvl="0" indent="0" algn="ctr" defTabSz="622300">
            <a:lnSpc>
              <a:spcPct val="90000"/>
            </a:lnSpc>
            <a:spcBef>
              <a:spcPct val="0"/>
            </a:spcBef>
            <a:spcAft>
              <a:spcPct val="35000"/>
            </a:spcAft>
            <a:buNone/>
          </a:pPr>
          <a:r>
            <a:rPr lang="en-US" sz="1400" b="1" i="0" u="none" kern="1200" dirty="0">
              <a:solidFill>
                <a:schemeClr val="tx1"/>
              </a:solidFill>
              <a:latin typeface="Calibri" panose="020F0502020204030204" pitchFamily="34" charset="0"/>
              <a:cs typeface="Calibri" panose="020F0502020204030204" pitchFamily="34" charset="0"/>
            </a:rPr>
            <a:t>Goals</a:t>
          </a:r>
          <a:endParaRPr lang="en-US" sz="1400" kern="1200" dirty="0">
            <a:solidFill>
              <a:schemeClr val="tx1"/>
            </a:solidFill>
            <a:latin typeface="Calibri" panose="020F0502020204030204" pitchFamily="34" charset="0"/>
            <a:cs typeface="Calibri" panose="020F0502020204030204" pitchFamily="34" charset="0"/>
          </a:endParaRPr>
        </a:p>
      </dsp:txBody>
      <dsp:txXfrm>
        <a:off x="0" y="415"/>
        <a:ext cx="1200531" cy="425376"/>
      </dsp:txXfrm>
    </dsp:sp>
    <dsp:sp modelId="{4E82750E-EFB3-1A4E-B9B6-15267FDF1942}">
      <dsp:nvSpPr>
        <dsp:cNvPr id="0" name=""/>
        <dsp:cNvSpPr/>
      </dsp:nvSpPr>
      <dsp:spPr>
        <a:xfrm>
          <a:off x="1200531" y="451314"/>
          <a:ext cx="4802124" cy="425376"/>
        </a:xfrm>
        <a:prstGeom prst="rect">
          <a:avLst/>
        </a:prstGeom>
        <a:solidFill>
          <a:schemeClr val="accent6"/>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3175" tIns="108046" rIns="93175" bIns="108046" numCol="1" spcCol="1270" anchor="ctr" anchorCtr="0">
          <a:noAutofit/>
        </a:bodyPr>
        <a:lstStyle/>
        <a:p>
          <a:pPr marL="0" lvl="0" indent="0" algn="l" defTabSz="488950">
            <a:lnSpc>
              <a:spcPct val="90000"/>
            </a:lnSpc>
            <a:spcBef>
              <a:spcPct val="0"/>
            </a:spcBef>
            <a:spcAft>
              <a:spcPct val="35000"/>
            </a:spcAft>
            <a:buFont typeface="Arial" panose="020B0604020202020204" pitchFamily="34" charset="0"/>
            <a:buNone/>
          </a:pPr>
          <a:r>
            <a:rPr lang="en-US" sz="1100" b="0" i="0" u="none" kern="1200" dirty="0">
              <a:solidFill>
                <a:schemeClr val="tx1"/>
              </a:solidFill>
              <a:latin typeface="Calibri" panose="020F0502020204030204" pitchFamily="34" charset="0"/>
              <a:cs typeface="Calibri" panose="020F0502020204030204" pitchFamily="34" charset="0"/>
            </a:rPr>
            <a:t>Evaluate choices with data analytics tools.</a:t>
          </a:r>
        </a:p>
      </dsp:txBody>
      <dsp:txXfrm>
        <a:off x="1200531" y="451314"/>
        <a:ext cx="4802124" cy="425376"/>
      </dsp:txXfrm>
    </dsp:sp>
    <dsp:sp modelId="{64AEE46E-C8FF-5A42-A75C-252CE52343F9}">
      <dsp:nvSpPr>
        <dsp:cNvPr id="0" name=""/>
        <dsp:cNvSpPr/>
      </dsp:nvSpPr>
      <dsp:spPr>
        <a:xfrm>
          <a:off x="0" y="451314"/>
          <a:ext cx="1200531" cy="425376"/>
        </a:xfrm>
        <a:prstGeom prst="rect">
          <a:avLst/>
        </a:prstGeom>
        <a:solidFill>
          <a:schemeClr val="lt1">
            <a:hueOff val="0"/>
            <a:satOff val="0"/>
            <a:lumOff val="0"/>
            <a:alphaOff val="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28" tIns="42018" rIns="63528" bIns="42018" numCol="1" spcCol="1270" anchor="ctr" anchorCtr="0">
          <a:noAutofit/>
        </a:bodyPr>
        <a:lstStyle/>
        <a:p>
          <a:pPr marL="0" lvl="0" indent="0" algn="ctr" defTabSz="622300">
            <a:lnSpc>
              <a:spcPct val="90000"/>
            </a:lnSpc>
            <a:spcBef>
              <a:spcPct val="0"/>
            </a:spcBef>
            <a:spcAft>
              <a:spcPct val="35000"/>
            </a:spcAft>
            <a:buNone/>
          </a:pPr>
          <a:r>
            <a:rPr lang="en-US" sz="1400" b="1" i="0" u="none" kern="1200" dirty="0">
              <a:solidFill>
                <a:schemeClr val="tx1"/>
              </a:solidFill>
              <a:latin typeface="Calibri" panose="020F0502020204030204" pitchFamily="34" charset="0"/>
              <a:cs typeface="Calibri" panose="020F0502020204030204" pitchFamily="34" charset="0"/>
            </a:rPr>
            <a:t>Technology</a:t>
          </a:r>
        </a:p>
      </dsp:txBody>
      <dsp:txXfrm>
        <a:off x="0" y="451314"/>
        <a:ext cx="1200531" cy="425376"/>
      </dsp:txXfrm>
    </dsp:sp>
    <dsp:sp modelId="{B8289E6C-C06C-2F45-9303-29AE95017E63}">
      <dsp:nvSpPr>
        <dsp:cNvPr id="0" name=""/>
        <dsp:cNvSpPr/>
      </dsp:nvSpPr>
      <dsp:spPr>
        <a:xfrm>
          <a:off x="1200531" y="902214"/>
          <a:ext cx="4802124" cy="425376"/>
        </a:xfrm>
        <a:prstGeom prst="rect">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3175" tIns="108046" rIns="93175" bIns="108046" numCol="1" spcCol="1270" anchor="ctr" anchorCtr="0">
          <a:noAutofit/>
        </a:bodyPr>
        <a:lstStyle/>
        <a:p>
          <a:pPr marL="0" lvl="0" indent="0" algn="l" defTabSz="488950">
            <a:lnSpc>
              <a:spcPct val="90000"/>
            </a:lnSpc>
            <a:spcBef>
              <a:spcPct val="0"/>
            </a:spcBef>
            <a:spcAft>
              <a:spcPct val="35000"/>
            </a:spcAft>
            <a:buFont typeface="Arial" panose="020B0604020202020204" pitchFamily="34" charset="0"/>
            <a:buNone/>
          </a:pPr>
          <a:r>
            <a:rPr lang="en-US" sz="1100" b="0" i="0" u="none" kern="1200" dirty="0">
              <a:solidFill>
                <a:schemeClr val="tx1"/>
              </a:solidFill>
              <a:latin typeface="Calibri" panose="020F0502020204030204" pitchFamily="34" charset="0"/>
              <a:cs typeface="Calibri" panose="020F0502020204030204" pitchFamily="34" charset="0"/>
            </a:rPr>
            <a:t>Integrate human intuition with data-driven insights to make informed decisions.</a:t>
          </a:r>
        </a:p>
      </dsp:txBody>
      <dsp:txXfrm>
        <a:off x="1200531" y="902214"/>
        <a:ext cx="4802124" cy="425376"/>
      </dsp:txXfrm>
    </dsp:sp>
    <dsp:sp modelId="{B07D8BE2-5904-814E-BAAA-E8109BDD1E4E}">
      <dsp:nvSpPr>
        <dsp:cNvPr id="0" name=""/>
        <dsp:cNvSpPr/>
      </dsp:nvSpPr>
      <dsp:spPr>
        <a:xfrm>
          <a:off x="0" y="902214"/>
          <a:ext cx="1200531" cy="425376"/>
        </a:xfrm>
        <a:prstGeom prst="rect">
          <a:avLst/>
        </a:prstGeom>
        <a:solidFill>
          <a:schemeClr val="lt1">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28" tIns="42018" rIns="63528" bIns="42018" numCol="1" spcCol="1270" anchor="ctr" anchorCtr="0">
          <a:noAutofit/>
        </a:bodyPr>
        <a:lstStyle/>
        <a:p>
          <a:pPr marL="0" lvl="0" indent="0" algn="ctr" defTabSz="622300">
            <a:lnSpc>
              <a:spcPct val="90000"/>
            </a:lnSpc>
            <a:spcBef>
              <a:spcPct val="0"/>
            </a:spcBef>
            <a:spcAft>
              <a:spcPct val="35000"/>
            </a:spcAft>
            <a:buNone/>
          </a:pPr>
          <a:r>
            <a:rPr lang="en-US" sz="1400" b="1" i="0" u="none" kern="1200">
              <a:solidFill>
                <a:schemeClr val="tx1"/>
              </a:solidFill>
              <a:latin typeface="Calibri" panose="020F0502020204030204" pitchFamily="34" charset="0"/>
              <a:cs typeface="Calibri" panose="020F0502020204030204" pitchFamily="34" charset="0"/>
            </a:rPr>
            <a:t>Judgment</a:t>
          </a:r>
        </a:p>
      </dsp:txBody>
      <dsp:txXfrm>
        <a:off x="0" y="902214"/>
        <a:ext cx="1200531" cy="425376"/>
      </dsp:txXfrm>
    </dsp:sp>
  </dsp:spTree>
</dsp:drawing>
</file>

<file path=word/diagrams/layout1.xml><?xml version="1.0" encoding="utf-8"?>
<dgm:layoutDef xmlns:dgm="http://schemas.openxmlformats.org/drawingml/2006/diagram" xmlns:a="http://schemas.openxmlformats.org/drawingml/2006/main" uniqueId="urn:microsoft.com/office/officeart/2016/7/layout/VerticalHollowActionList">
  <dgm:title val="Vertical Hollow Action List"/>
  <dgm:desc val="Use to show non-sequential or grouped lists of information. Works well with large amounts of text. All text has the same level of emphasis, and direction is not implied."/>
  <dgm:catLst>
    <dgm:cat type="list"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 modelId="5">
          <dgm:prSet phldr="1"/>
        </dgm:pt>
        <dgm:pt modelId="51">
          <dgm:prSet phldr="1"/>
        </dgm:pt>
      </dgm:ptLst>
      <dgm:cxnLst>
        <dgm:cxn modelId="4" srcId="0" destId="1" srcOrd="0" destOrd="0"/>
        <dgm:cxn modelId="5" srcId="0" destId="2" srcOrd="1" destOrd="0"/>
        <dgm:cxn modelId="6" srcId="0" destId="3" srcOrd="2" destOrd="0"/>
        <dgm:cxn modelId="7" srcId="0" destId="4" srcOrd="3" destOrd="0"/>
        <dgm:cxn modelId="8" srcId="0" destId="5" srcOrd="4" destOrd="0"/>
        <dgm:cxn modelId="13" srcId="1" destId="11" srcOrd="0" destOrd="0"/>
        <dgm:cxn modelId="23" srcId="2" destId="21" srcOrd="0" destOrd="0"/>
        <dgm:cxn modelId="33" srcId="3" destId="31" srcOrd="0" destOrd="0"/>
        <dgm:cxn modelId="43" srcId="4" destId="41" srcOrd="0" destOrd="0"/>
        <dgm:cxn modelId="53" srcId="5" destId="5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6"/>
      <dgm:constr type="primFontSz" for="des" forName="parentText" op="equ" val="28"/>
      <dgm:constr type="primFontSz" for="des" forName="descendantText" refType="primFontSz" refFor="des" refForName="parentText" op="lte" fact="0.82"/>
      <dgm:constr type="primFontSz" for="des" forName="parentText" refType="primFontSz" refFor="des" refForName="descendantText" op="lte" fact="1.25"/>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2"/>
          <dgm:constr type="w" for="ch" forName="descendantText" refType="w" fact="0.8"/>
          <dgm:constr type="h" for="ch" forName="parentText" refType="h"/>
          <dgm:constr type="h" for="ch" forName="descendantText" refType="h" refFor="ch" refForName="parentText"/>
        </dgm:constrLst>
        <dgm:ruleLst/>
        <dgm:layoutNode name="parentText" styleLbl="solidFgAcc1">
          <dgm:varLst>
            <dgm:chMax val="1"/>
            <dgm:bulletEnabled/>
          </dgm:varLst>
          <dgm:alg type="tx"/>
          <dgm:shape xmlns:r="http://schemas.openxmlformats.org/officeDocument/2006/relationships" type="rect" r:blip="" zOrderOff="3">
            <dgm:adjLst/>
          </dgm:shape>
          <dgm:presOf axis="self" ptType="node"/>
          <dgm:constrLst>
            <dgm:constr type="tMarg" refType="h" fact="0.28"/>
            <dgm:constr type="bMarg" refType="h" fact="0.28"/>
            <dgm:constr type="lMarg" refType="w" fact="0.15"/>
            <dgm:constr type="rMarg" refType="w" fact="0.15"/>
          </dgm:constrLst>
          <dgm:ruleLst>
            <dgm:rule type="primFontSz" val="15" fact="NaN" max="NaN"/>
          </dgm:ruleLst>
        </dgm:layoutNode>
        <dgm:layoutNode name="descendantText" styleLbl="alignNode1">
          <dgm:varLst>
            <dgm:bulletEnabled/>
          </dgm:varLst>
          <dgm:alg type="tx">
            <dgm:param type="stBulletLvl" val="0"/>
            <dgm:param type="parTxLTRAlign" val="l"/>
            <dgm:param type="shpTxLTRAlignCh" val="l"/>
            <dgm:param type="parTxRTLAlign" val="r"/>
            <dgm:param type="shpTxRTLAlignCh" val="r"/>
          </dgm:alg>
          <dgm:choose name="Name10">
            <dgm:if name="Name11" func="var" arg="dir" op="equ" val="norm">
              <dgm:shape xmlns:r="http://schemas.openxmlformats.org/officeDocument/2006/relationships" type="rect" r:blip="">
                <dgm:adjLst/>
              </dgm:shape>
            </dgm:if>
            <dgm:else name="Name12">
              <dgm:shape xmlns:r="http://schemas.openxmlformats.org/officeDocument/2006/relationships" type="rect" r:blip="">
                <dgm:adjLst/>
              </dgm:shape>
            </dgm:else>
          </dgm:choose>
          <dgm:presOf axis="des" ptType="node"/>
          <dgm:constrLst>
            <dgm:constr type="primFontSz" val="24"/>
            <dgm:constr type="lMarg" refType="w" fact="0.055"/>
            <dgm:constr type="rMarg" refType="w" fact="0.055"/>
            <dgm:constr type="tMarg" refType="h" fact="0.72"/>
            <dgm:constr type="bMarg" refType="h" fact="0.72"/>
          </dgm:constrLst>
          <dgm:ruleLst>
            <dgm:rule type="primFontSz" val="11" fact="NaN" max="NaN"/>
          </dgm:ruleLst>
        </dgm:layoutNod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0.51909</cdr:x>
      <cdr:y>0.24884</cdr:y>
    </cdr:from>
    <cdr:to>
      <cdr:x>0.51942</cdr:x>
      <cdr:y>0.89521</cdr:y>
    </cdr:to>
    <cdr:cxnSp macro="">
      <cdr:nvCxnSpPr>
        <cdr:cNvPr id="2" name="Straight Connector 1">
          <a:extLst xmlns:a="http://schemas.openxmlformats.org/drawingml/2006/main">
            <a:ext uri="{FF2B5EF4-FFF2-40B4-BE49-F238E27FC236}">
              <a16:creationId xmlns:a16="http://schemas.microsoft.com/office/drawing/2014/main" id="{63F8D38C-9C28-EE6A-185F-F5113F003059}"/>
            </a:ext>
          </a:extLst>
        </cdr:cNvPr>
        <cdr:cNvCxnSpPr/>
      </cdr:nvCxnSpPr>
      <cdr:spPr>
        <a:xfrm xmlns:a="http://schemas.openxmlformats.org/drawingml/2006/main">
          <a:off x="3332361" y="977492"/>
          <a:ext cx="2154" cy="2539108"/>
        </a:xfrm>
        <a:prstGeom xmlns:a="http://schemas.openxmlformats.org/drawingml/2006/main" prst="line">
          <a:avLst/>
        </a:prstGeom>
      </cdr:spPr>
      <cdr:style>
        <a:lnRef xmlns:a="http://schemas.openxmlformats.org/drawingml/2006/main" idx="2">
          <a:schemeClr val="accent6"/>
        </a:lnRef>
        <a:fillRef xmlns:a="http://schemas.openxmlformats.org/drawingml/2006/main" idx="0">
          <a:schemeClr val="accent6"/>
        </a:fillRef>
        <a:effectRef xmlns:a="http://schemas.openxmlformats.org/drawingml/2006/main" idx="1">
          <a:schemeClr val="accent6"/>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{88345D15-871D-5E42-9922-2C0FB78E78D0}</b:Guid>
    <b:RefOrder>8</b:RefOrder>
  </b:Source>
  <b:Source>
    <b:Tag>Jon20</b:Tag>
    <b:SourceType>JournalArticle</b:SourceType>
    <b:Guid>{D98B3340-F250-5D4B-A73C-914BA9041F18}</b:Guid>
    <b:Author>
      <b:Author>
        <b:NameList>
          <b:Person>
            <b:Last>Jones</b:Last>
            <b:First>B.,</b:First>
            <b:Middle>&amp; Green, C.</b:Middle>
          </b:Person>
        </b:NameList>
      </b:Author>
    </b:Author>
    <b:Title>Climate Skepticism in the Oil Industry: A Historical Analysis of U.S. and Middle Eastern Firms’ Approaches to Environmental Science</b:Title>
    <b:Year>2020</b:Year>
    <b:JournalName>Environmental Policy Journal</b:JournalName>
    <b:Pages>34(2), 12-24</b:Pages>
    <b:RefOrder>2</b:RefOrder>
  </b:Source>
  <b:Source>
    <b:Tag>Smi</b:Tag>
    <b:SourceType>Report</b:SourceType>
    <b:Guid>{931208BD-5000-084C-93FA-25E42D0FDCD5}</b:Guid>
    <b:Author>
      <b:Author>
        <b:NameList>
          <b:Person>
            <b:Last>Smith</b:Last>
            <b:First>A.</b:First>
          </b:Person>
        </b:NameList>
      </b:Author>
    </b:Author>
    <b:Title>Energy and the Climate Crisis: A Study on the Fossil Fuel Industry’s Response to Climate Change</b:Title>
    <b:Publisher>Global Energy Research Institute.</b:Publisher>
    <b:InternetSiteTitle>Global Energy Research Institute.</b:InternetSiteTitle>
    <b:Year>2021</b:Year>
    <b:RefOrder>1</b:RefOrder>
  </b:Source>
  <b:Source>
    <b:Tag>Doe19</b:Tag>
    <b:SourceType>JournalArticle</b:SourceType>
    <b:Guid>{278F0E20-A122-6E43-BC63-ABAD28239888}</b:Guid>
    <b:Author>
      <b:Author>
        <b:NameList>
          <b:Person>
            <b:Last>Doe</b:Last>
            <b:First>J.</b:First>
          </b:Person>
        </b:NameList>
      </b:Author>
    </b:Author>
    <b:Title>Selective Recall and Greenwashing: How the Oil Industry Frames Its Environmental Contributions</b:Title>
    <b:JournalName>Business Ethics Quarterly</b:JournalName>
    <b:Year>2019</b:Year>
    <b:Pages>45(3), 189-203</b:Pages>
    <b:RefOrder>3</b:RefOrder>
  </b:Source>
  <b:Source>
    <b:Tag>Eur21</b:Tag>
    <b:SourceType>Report</b:SourceType>
    <b:Guid>{9AB7F7A9-5599-754F-913F-43ABC2D28DCA}</b:Guid>
    <b:Author>
      <b:Author>
        <b:Corporate>European Commission</b:Corporate>
      </b:Author>
    </b:Author>
    <b:Title>The European Green Deal: Achieving Carbon Neutrality by 2050</b:Title>
    <b:Year>2021</b:Year>
    <b:Publisher>Brussels: European Commission</b:Publisher>
    <b:RefOrder>4</b:RefOrder>
  </b:Source>
  <b:Source>
    <b:Tag>Wil67</b:Tag>
    <b:SourceType>JournalArticle</b:SourceType>
    <b:Guid>{C5FC6AED-53F6-054C-B497-2655D5A62188}</b:Guid>
    <b:Author>
      <b:Author>
        <b:NameList>
          <b:Person>
            <b:Last>Wilson</b:Last>
            <b:First>L.,</b:First>
            <b:Middle>&amp; Patel, R.</b:Middle>
          </b:Person>
        </b:NameList>
      </b:Author>
    </b:Author>
    <b:Title>European Energy Transition: The Role of Regulation and Financial Incentives in Renewable Energy Adoption</b:Title>
    <b:Publisher>Renewable Energy Economic</b:Publisher>
    <b:City>2022</b:City>
    <b:Year>2022</b:Year>
    <b:Pages>18(4), 45-67</b:Pages>
    <b:RefOrder>5</b:RefOrder>
  </b:Source>
  <b:Source>
    <b:Tag>Pre05</b:Tag>
    <b:SourceType>JournalArticle</b:SourceType>
    <b:Guid>{1F93FFED-BFD4-874A-A1C6-7A606597853D}</b:Guid>
    <b:Author>
      <b:Author>
        <b:NameList>
          <b:Person>
            <b:Last>Prelec</b:Last>
            <b:First>Drazen,</b:First>
            <b:Middle>et al.</b:Middle>
          </b:Person>
        </b:NameList>
      </b:Author>
    </b:Author>
    <b:Title>The Influence of Arbitrary Anchors on Valuation</b:Title>
    <b:JournalName>Science</b:JournalName>
    <b:Year>2005</b:Year>
    <b:Pages>vol. 307, no. 5708, pp. 1207-1210</b:Pages>
    <b:RefOrder>6</b:RefOrder>
  </b:Source>
  <b:Source>
    <b:Tag>Duh13</b:Tag>
    <b:SourceType>ArticleInAPeriodical</b:SourceType>
    <b:Guid>{49E739C7-EADF-3546-A209-36FEC59D2E6F}</b:Guid>
    <b:Author>
      <b:Author>
        <b:NameList>
          <b:Person>
            <b:Last>Duhigg</b:Last>
            <b:First>Charles</b:First>
          </b:Person>
        </b:NameList>
      </b:Author>
    </b:Author>
    <b:Title>JC Penney's Pricing Strategy Falls Short</b:Title>
    <b:JournalName>he New York Times</b:JournalName>
    <b:Year>2013</b:Year>
    <b:PeriodicalTitle>The New York Times</b:PeriodicalTitle>
    <b:Month>February</b:Month>
    <b:Day>26</b:Day>
    <b:RefOrder>7</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b601a2d9-bc88-484b-b998-960360b06e6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782CA55C0791E4A870CD524C2110D7A" ma:contentTypeVersion="8" ma:contentTypeDescription="Create a new document." ma:contentTypeScope="" ma:versionID="72f3c029ae4b8b25de6b2d41d5cf8113">
  <xsd:schema xmlns:xsd="http://www.w3.org/2001/XMLSchema" xmlns:xs="http://www.w3.org/2001/XMLSchema" xmlns:p="http://schemas.microsoft.com/office/2006/metadata/properties" xmlns:ns3="b601a2d9-bc88-484b-b998-960360b06e60" targetNamespace="http://schemas.microsoft.com/office/2006/metadata/properties" ma:root="true" ma:fieldsID="b58a7d9ec535443052f7c6c9b314cc2c" ns3:_="">
    <xsd:import namespace="b601a2d9-bc88-484b-b998-960360b06e60"/>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KeyPoints" minOccurs="0"/>
                <xsd:element ref="ns3:MediaServiceKeyPoints"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1a2d9-bc88-484b-b998-960360b06e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54D944-9191-044E-9310-AB2238E45EC1}">
  <ds:schemaRefs>
    <ds:schemaRef ds:uri="http://schemas.openxmlformats.org/officeDocument/2006/bibliography"/>
  </ds:schemaRefs>
</ds:datastoreItem>
</file>

<file path=customXml/itemProps2.xml><?xml version="1.0" encoding="utf-8"?>
<ds:datastoreItem xmlns:ds="http://schemas.openxmlformats.org/officeDocument/2006/customXml" ds:itemID="{0DA9491F-240D-45D6-8F27-985B2AA110B6}">
  <ds:schemaRefs>
    <ds:schemaRef ds:uri="http://schemas.microsoft.com/office/2006/metadata/properties"/>
    <ds:schemaRef ds:uri="http://schemas.microsoft.com/office/infopath/2007/PartnerControls"/>
    <ds:schemaRef ds:uri="b601a2d9-bc88-484b-b998-960360b06e60"/>
  </ds:schemaRefs>
</ds:datastoreItem>
</file>

<file path=customXml/itemProps3.xml><?xml version="1.0" encoding="utf-8"?>
<ds:datastoreItem xmlns:ds="http://schemas.openxmlformats.org/officeDocument/2006/customXml" ds:itemID="{1E42A759-DF08-4ADB-A2EE-F0340DBD0F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1a2d9-bc88-484b-b998-960360b06e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6FCE90-48BE-4047-A68B-17D5EAD87A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148</Pages>
  <Words>34279</Words>
  <Characters>195395</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Xiaomin</dc:creator>
  <cp:keywords/>
  <dc:description/>
  <cp:lastModifiedBy>Yang, Xiaomin</cp:lastModifiedBy>
  <cp:revision>5</cp:revision>
  <cp:lastPrinted>2025-02-19T02:42:00Z</cp:lastPrinted>
  <dcterms:created xsi:type="dcterms:W3CDTF">2025-03-12T14:36:00Z</dcterms:created>
  <dcterms:modified xsi:type="dcterms:W3CDTF">2025-04-21T16:38:00Z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0x010100B782CA55C0791E4A870CD524C2110D7A</vt:lpwstr>
  </property>
</Properties>
</file>