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160"/>
      </w:pPr>
      <w:r>
        <w:rPr>
          <w:rFonts w:ascii="Calibri" w:hAnsi="Calibri" w:eastAsia="Microsoft YaHei"/>
          <w:b/>
          <w:color w:val="1F4D78"/>
          <w:sz w:val="54"/>
        </w:rPr>
        <w:t>Grok Web 模型对接与实测指南</w:t>
      </w:r>
    </w:p>
    <w:p>
      <w:pPr>
        <w:spacing w:after="480"/>
      </w:pPr>
      <w:r>
        <w:rPr>
          <w:rFonts w:ascii="Calibri" w:hAnsi="Calibri" w:eastAsia="Microsoft YaHei"/>
          <w:b w:val="0"/>
          <w:color w:val="667085"/>
          <w:sz w:val="26"/>
        </w:rPr>
        <w:t>文字 · 文生图 · 图片编辑 · 视频 · 代理与质量守护</w:t>
      </w:r>
    </w:p>
    <w:p>
      <w:pPr>
        <w:spacing w:after="720"/>
      </w:pPr>
      <w:r>
        <w:rPr>
          <w:rFonts w:ascii="Calibri" w:hAnsi="Calibri" w:eastAsia="Microsoft YaHei"/>
          <w:b/>
          <w:color w:val="667085"/>
          <w:sz w:val="21"/>
        </w:rPr>
        <w:t>测试日期  2026-08-19    |    部署版本  v3.1.3-upscale.2</w:t>
      </w:r>
    </w:p>
    <w:p>
      <w:pPr>
        <w:spacing w:after="240"/>
      </w:pPr>
      <w:r>
        <w:rPr>
          <w:rFonts w:ascii="Calibri" w:hAnsi="Calibri" w:eastAsia="Microsoft YaHei"/>
          <w:b/>
          <w:color w:val="1F4D78"/>
          <w:sz w:val="22"/>
        </w:rPr>
        <w:t>本文档以真实落盘文件为准。HTTP 200 但没有有效媒体文件不计为成功。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测试方式：所有媒体结果均下载并读取文件元数据；HTTP 200 但没有有效文件不计为成功。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对接结论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9"/>
        <w:gridCol w:w="3516"/>
        <w:gridCol w:w="1289"/>
        <w:gridCol w:w="3516"/>
      </w:tblGrid>
      <w:tr>
        <w:trPr>
          <w:tblHeader w:val="true"/>
        </w:trPr>
        <w:tc>
          <w:tcPr>
            <w:tcW w:type="dxa" w:w="103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351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推荐模型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当前可用规格</w:t>
            </w:r>
          </w:p>
        </w:tc>
        <w:tc>
          <w:tcPr>
            <w:tcW w:type="dxa" w:w="351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关键限制</w:t>
            </w:r>
          </w:p>
        </w:tc>
      </w:tr>
      <w:tr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文字聊天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grok-chat-fast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auto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expert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heavy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SSE 或非流式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只用于文字与多模态聊天，不用于图片编辑</w:t>
            </w:r>
          </w:p>
        </w:tc>
      </w:tr>
      <w:tr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精确比例文生图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grok-imagine-image-2.0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1K、2K、二改 4K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Web 的 1K 与 2K 实际像素相同</w:t>
            </w:r>
          </w:p>
        </w:tc>
      </w:tr>
      <w:tr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兼容文生图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grok-imagine-image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1K、2K、二改 4K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尺寸表现与 2.0 相同</w:t>
            </w:r>
          </w:p>
        </w:tc>
      </w:tr>
      <w:tr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快速文生图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grok-imagine-image-lite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1K、2K、二改 4K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不可靠遵守指定比例，不适合固定画布</w:t>
            </w:r>
          </w:p>
        </w:tc>
      </w:tr>
      <w:tr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图片编辑/图生图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grok-imagine-image-edit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1K、二改 4K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必须传 1-8 张原图，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n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只能为 1；2K 当前拒绝</w:t>
            </w:r>
          </w:p>
        </w:tc>
      </w:tr>
      <w:tr>
        <w:tc>
          <w:tcPr>
            <w:tcW w:type="dxa" w:w="1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视频生成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grok-imagine-video</w:t>
            </w:r>
          </w:p>
        </w:tc>
        <w:tc>
          <w:tcPr>
            <w:tcW w:type="dxa" w:w="1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720p，1-15 秒</w:t>
            </w:r>
          </w:p>
        </w:tc>
        <w:tc>
          <w:tcPr>
            <w:tcW w:type="dxa" w:w="3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 Basic Web 池不能调度 480p；Web 不支持 1080p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000000"/>
          <w:sz w:val="22"/>
        </w:rPr>
        <w:t>最重要的消费端规则：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不能只根据请求参数推算尺寸，必须读取最终图片或视频的实际宽高。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文生图的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1k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与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2k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当前没有真实像素差异，不能向用户宣传为原生 2K。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4k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是本项目二改的本地后处理：先生成 Web 原生图，再等比放大到长边 4096，不是 Grok 原生 4K。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精确比例不要使用 Lite；图片编辑应走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/v1/images/edits</w:t>
      </w:r>
      <w:r>
        <w:rPr>
          <w:rFonts w:ascii="Calibri" w:hAnsi="Calibri" w:eastAsia="Microsoft YaHei"/>
          <w:b w:val="0"/>
          <w:color w:val="000000"/>
          <w:sz w:val="22"/>
        </w:rPr>
        <w:t>，不能放到文生图接口。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视频只建议显式请求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720p</w:t>
      </w:r>
      <w:r>
        <w:rPr>
          <w:rFonts w:ascii="Calibri" w:hAnsi="Calibri" w:eastAsia="Microsoft YaHei"/>
          <w:b w:val="0"/>
          <w:color w:val="000000"/>
          <w:sz w:val="22"/>
        </w:rPr>
        <w:t xml:space="preserve">；创建成功后保存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request_id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并轮询，不要重复提交同一任务。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模型与接口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2.1 文字聊天</w:t>
      </w:r>
    </w:p>
    <w:p>
      <w:r>
        <w:rPr>
          <w:rFonts w:ascii="Calibri" w:hAnsi="Calibri" w:eastAsia="Microsoft YaHei"/>
          <w:b w:val="0"/>
          <w:color w:val="000000"/>
          <w:sz w:val="22"/>
        </w:rPr>
        <w:t>接口：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POST /v1/chat/completions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POST /v1/responses</w:t>
      </w:r>
    </w:p>
    <w:p>
      <w:r>
        <w:rPr>
          <w:rFonts w:ascii="Calibri" w:hAnsi="Calibri" w:eastAsia="Microsoft YaHei"/>
          <w:b w:val="0"/>
          <w:color w:val="000000"/>
          <w:sz w:val="22"/>
        </w:rPr>
        <w:t>当前 Grok Web 文字路由包括：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grok-chat-auto</w:t>
      </w:r>
      <w:r>
        <w:rPr>
          <w:rFonts w:ascii="Calibri" w:hAnsi="Calibri" w:eastAsia="Microsoft YaHei"/>
          <w:b w:val="0"/>
          <w:color w:val="000000"/>
          <w:sz w:val="22"/>
        </w:rPr>
        <w:t>：由 Grok 自动选择处理模式。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grok-chat-fast</w:t>
      </w:r>
      <w:r>
        <w:rPr>
          <w:rFonts w:ascii="Calibri" w:hAnsi="Calibri" w:eastAsia="Microsoft YaHei"/>
          <w:b w:val="0"/>
          <w:color w:val="000000"/>
          <w:sz w:val="22"/>
        </w:rPr>
        <w:t>：低延迟常规聊天。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grok-chat-expert</w:t>
      </w:r>
      <w:r>
        <w:rPr>
          <w:rFonts w:ascii="Calibri" w:hAnsi="Calibri" w:eastAsia="Microsoft YaHei"/>
          <w:b w:val="0"/>
          <w:color w:val="000000"/>
          <w:sz w:val="22"/>
        </w:rPr>
        <w:t>：偏复杂任务。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grok-chat-heavy</w:t>
      </w:r>
      <w:r>
        <w:rPr>
          <w:rFonts w:ascii="Calibri" w:hAnsi="Calibri" w:eastAsia="Microsoft YaHei"/>
          <w:b w:val="0"/>
          <w:color w:val="000000"/>
          <w:sz w:val="22"/>
        </w:rPr>
        <w:t>：更重的推理任务，通常耗时更长。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部署中的路由表可能显示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Web/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前缀；是否允许无前缀别名由 Client Key 的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allowModelAliases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决定。跨项目对接前应调用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GET /v1/models</w:t>
      </w:r>
      <w:r>
        <w:rPr>
          <w:rFonts w:ascii="Calibri" w:hAnsi="Calibri" w:eastAsia="Microsoft YaHei"/>
          <w:b w:val="0"/>
          <w:color w:val="000000"/>
          <w:sz w:val="22"/>
        </w:rPr>
        <w:t>，以该 Key 实际返回的模型 ID 为准。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示例：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b w:val="0"/>
          <w:color w:val="233044"/>
          <w:sz w:val="17"/>
        </w:rPr>
        <w:t>{</w:t>
        <w:br/>
        <w:t xml:space="preserve">  "model": "grok-chat-fast",</w:t>
        <w:br/>
        <w:t xml:space="preserve">  "messages": [</w:t>
        <w:br/>
        <w:t xml:space="preserve">    {"role": "user", "content": "用一句话说明这个产品的卖点"}</w:t>
        <w:br/>
        <w:t xml:space="preserve">  ],</w:t>
        <w:br/>
        <w:t xml:space="preserve">  "stream": false</w:t>
        <w:br/>
        <w:t>}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2.2 文生图</w:t>
      </w:r>
    </w:p>
    <w:p>
      <w:r>
        <w:rPr>
          <w:rFonts w:ascii="Calibri" w:hAnsi="Calibri" w:eastAsia="Microsoft YaHei"/>
          <w:b w:val="0"/>
          <w:color w:val="000000"/>
          <w:sz w:val="22"/>
        </w:rPr>
        <w:t>接口：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POST /v1/images/generations</w:t>
      </w:r>
    </w:p>
    <w:p>
      <w:r>
        <w:rPr>
          <w:rFonts w:ascii="Calibri" w:hAnsi="Calibri" w:eastAsia="Microsoft YaHei"/>
          <w:b w:val="0"/>
          <w:color w:val="000000"/>
          <w:sz w:val="22"/>
        </w:rPr>
        <w:t>支持模型：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grok-imagine-image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grok-imagine-image-2.0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grok-imagine-image-lite</w:t>
      </w:r>
    </w:p>
    <w:p>
      <w:r>
        <w:rPr>
          <w:rFonts w:ascii="Calibri" w:hAnsi="Calibri" w:eastAsia="Microsoft YaHei"/>
          <w:b w:val="0"/>
          <w:color w:val="000000"/>
          <w:sz w:val="22"/>
        </w:rPr>
        <w:t>标准请求：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b w:val="0"/>
          <w:color w:val="233044"/>
          <w:sz w:val="17"/>
        </w:rPr>
        <w:t>{</w:t>
        <w:br/>
        <w:t xml:space="preserve">  "model": "grok-imagine-image-2.0",</w:t>
        <w:br/>
        <w:t xml:space="preserve">  "prompt": "A product photograph on a white background",</w:t>
        <w:br/>
        <w:t xml:space="preserve">  "n": 1,</w:t>
        <w:br/>
        <w:t xml:space="preserve">  "aspect_ratio": "16:9",</w:t>
        <w:br/>
        <w:t xml:space="preserve">  "resolution": "1k",</w:t>
        <w:br/>
        <w:t xml:space="preserve">  "response_format": "url",</w:t>
        <w:br/>
        <w:t xml:space="preserve">  "stream": false</w:t>
        <w:br/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文生图真实尺寸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 xml:space="preserve">3.1 </w:t>
      </w:r>
      <w:r>
        <w:rPr>
          <w:rFonts w:ascii="Consolas" w:hAnsi="Consolas" w:eastAsia="Microsoft YaHei"/>
          <w:b/>
          <w:color w:val="1F4D78"/>
          <w:sz w:val="24"/>
          <w:shd w:fill="F2F4F7"/>
        </w:rPr>
        <w:t>grok-imagine-image</w:t>
      </w:r>
      <w:r>
        <w:rPr>
          <w:rFonts w:ascii="Calibri" w:hAnsi="Calibri" w:eastAsia="Microsoft YaHei"/>
          <w:b/>
          <w:color w:val="1F4D78"/>
          <w:sz w:val="24"/>
        </w:rPr>
        <w:t xml:space="preserve"> 与 </w:t>
      </w:r>
      <w:r>
        <w:rPr>
          <w:rFonts w:ascii="Consolas" w:hAnsi="Consolas" w:eastAsia="Microsoft YaHei"/>
          <w:b/>
          <w:color w:val="1F4D78"/>
          <w:sz w:val="24"/>
          <w:shd w:fill="F2F4F7"/>
        </w:rPr>
        <w:t>grok-imagine-image-2.0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两个模型在本轮测试中的尺寸映射一致，75 个文生图用例均生成了有效 JPEG。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9"/>
        <w:gridCol w:w="2269"/>
        <w:gridCol w:w="2269"/>
        <w:gridCol w:w="2553"/>
      </w:tblGrid>
      <w:tr>
        <w:trPr>
          <w:tblHeader w:val="true"/>
        </w:trPr>
        <w:tc>
          <w:tcPr>
            <w:tcW w:type="dxa" w:w="22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请求比例</w:t>
            </w:r>
          </w:p>
        </w:tc>
        <w:tc>
          <w:tcPr>
            <w:tcW w:type="dxa" w:w="22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实际 1K</w:t>
            </w:r>
          </w:p>
        </w:tc>
        <w:tc>
          <w:tcPr>
            <w:tcW w:type="dxa" w:w="22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实际 2K</w:t>
            </w:r>
          </w:p>
        </w:tc>
        <w:tc>
          <w:tcPr>
            <w:tcW w:type="dxa" w:w="255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实际二改 4K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auto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768×1152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768×1152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2731×4096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1:1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960×960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960×960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4096×4096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16:9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1280×720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1280×720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4096×2304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9:16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720×1280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720×1280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2304×4096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4:3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1088×816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1088×816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4096×3072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3:4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816×1088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816×1088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3072×4096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3:2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1152×768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1152×768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4096×2731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2:3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768×1152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768×1152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2731×4096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/>
          <w:b w:val="0"/>
          <w:color w:val="000000"/>
          <w:sz w:val="22"/>
          <w:shd w:fill="F2F4F7"/>
        </w:rPr>
        <w:t>auto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与省略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aspect_ratio</w:t>
      </w:r>
      <w:r>
        <w:rPr>
          <w:rFonts w:ascii="Calibri" w:hAnsi="Calibri" w:eastAsia="Microsoft YaHei"/>
          <w:b w:val="0"/>
          <w:color w:val="000000"/>
          <w:sz w:val="22"/>
        </w:rPr>
        <w:t xml:space="preserve"> 都能调用，但方向由内容决定。本次固定提示词选择了 2:3 竖图，不能把它当作固定规则。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 xml:space="preserve">3.2 </w:t>
      </w:r>
      <w:r>
        <w:rPr>
          <w:rFonts w:ascii="Consolas" w:hAnsi="Consolas" w:eastAsia="Microsoft YaHei"/>
          <w:b/>
          <w:color w:val="1F4D78"/>
          <w:sz w:val="24"/>
          <w:shd w:fill="F2F4F7"/>
        </w:rPr>
        <w:t>grok-imagine-image-lite</w:t>
      </w:r>
    </w:p>
    <w:p>
      <w:r>
        <w:rPr>
          <w:rFonts w:ascii="Calibri" w:hAnsi="Calibri" w:eastAsia="Microsoft YaHei"/>
          <w:b w:val="0"/>
          <w:color w:val="000000"/>
          <w:sz w:val="22"/>
        </w:rPr>
        <w:t>Lite 接受比例参数，但实际只稳定观察到两种原生画布：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1168×784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和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784×1168</w:t>
      </w:r>
      <w:r>
        <w:rPr>
          <w:rFonts w:ascii="Calibri" w:hAnsi="Calibri" w:eastAsia="Microsoft YaHei"/>
          <w:b w:val="0"/>
          <w:color w:val="000000"/>
          <w:sz w:val="22"/>
        </w:rPr>
        <w:t xml:space="preserve">。请求比例与返回方向有时相反，4K 也只是把这两种原生画布放大到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4096×2749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2749×4096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因此 Lite 只适合“速度优先、后续可以裁切”的场景。电商主图、海报、视频封面等依赖固定画布的业务不要使用 Lite。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图片编辑/图生图</w:t>
      </w:r>
    </w:p>
    <w:p>
      <w:r>
        <w:rPr>
          <w:rFonts w:ascii="Calibri" w:hAnsi="Calibri" w:eastAsia="Microsoft YaHei"/>
          <w:b w:val="0"/>
          <w:color w:val="000000"/>
          <w:sz w:val="22"/>
        </w:rPr>
        <w:t>模型：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grok-imagine-image-edit</w:t>
      </w:r>
    </w:p>
    <w:p>
      <w:r>
        <w:rPr>
          <w:rFonts w:ascii="Calibri" w:hAnsi="Calibri" w:eastAsia="Microsoft YaHei"/>
          <w:b w:val="0"/>
          <w:color w:val="000000"/>
          <w:sz w:val="22"/>
        </w:rPr>
        <w:t>接口：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POST /v1/images/edits</w:t>
      </w:r>
    </w:p>
    <w:p>
      <w:r>
        <w:rPr>
          <w:rFonts w:ascii="Calibri" w:hAnsi="Calibri" w:eastAsia="Microsoft YaHei"/>
          <w:b w:val="0"/>
          <w:color w:val="000000"/>
          <w:sz w:val="22"/>
        </w:rPr>
        <w:t>这个模型不是文生图模型。它会先上传原图，再结合提示词生成编辑后的新图片。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4.1 参数限制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image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必填，可传 1-8 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n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目前只能为 1。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原生编辑只接受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resolution=1k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本项目二改支持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resolution=4k</w:t>
      </w:r>
      <w:r>
        <w:rPr>
          <w:rFonts w:ascii="Calibri" w:hAnsi="Calibri" w:eastAsia="Microsoft YaHei"/>
          <w:b w:val="0"/>
          <w:color w:val="000000"/>
          <w:sz w:val="22"/>
        </w:rPr>
        <w:t>，其含义仍是生成后本地等比放大。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resolution=2k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当前返回 HTTP 400，不要发送。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把编辑模型传给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/v1/images/generations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会返回模型/接口不匹配错误。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本轮所有有效输出均为 JPEG。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4.2 实测尺寸</w:t>
      </w:r>
    </w:p>
    <w:p>
      <w:r>
        <w:rPr>
          <w:rFonts w:ascii="Calibri" w:hAnsi="Calibri" w:eastAsia="Microsoft YaHei"/>
          <w:b w:val="0"/>
          <w:color w:val="000000"/>
          <w:sz w:val="22"/>
        </w:rPr>
        <w:t>测试原图为 960×960，提示词要求改变主体颜色并保持背景和构图。所有 8 个 1K 比例、所有 8 个二改 4K 比例以及省略比例的 1K 用例最终均成功。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2"/>
        <w:gridCol w:w="2478"/>
        <w:gridCol w:w="2478"/>
        <w:gridCol w:w="2202"/>
      </w:tblGrid>
      <w:tr>
        <w:trPr>
          <w:tblHeader w:val="true"/>
        </w:trPr>
        <w:tc>
          <w:tcPr>
            <w:tcW w:type="dxa" w:w="220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请求比例</w:t>
            </w:r>
          </w:p>
        </w:tc>
        <w:tc>
          <w:tcPr>
            <w:tcW w:type="dxa" w:w="247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实际 1K</w:t>
            </w:r>
          </w:p>
        </w:tc>
        <w:tc>
          <w:tcPr>
            <w:tcW w:type="dxa" w:w="247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实际二改 4K</w:t>
            </w:r>
          </w:p>
        </w:tc>
        <w:tc>
          <w:tcPr>
            <w:tcW w:type="dxa" w:w="220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2K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auto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1024×1024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4096×4096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400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1:1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1024×1024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4096×4096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400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16:9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1280×720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4096×2304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400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9:16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720×1280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2304×4096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400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4:3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1152×864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4096×3072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400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3:4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864×1152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3072×4096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400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3:2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1248×832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4096×2731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400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2:3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832×1248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2731×4096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400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省略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1024×1024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未单独测试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-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000000"/>
          <w:sz w:val="22"/>
        </w:rPr>
        <w:t>编辑模型与文生图模型的原生尺寸并不完全相同，例如编辑的 1:1 为 1024×1024，而标准文生图为 960×960。下游不能共用一张静态尺寸表。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请求示例：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b w:val="0"/>
          <w:color w:val="233044"/>
          <w:sz w:val="17"/>
        </w:rPr>
        <w:t>{</w:t>
        <w:br/>
        <w:t xml:space="preserve">  "model": "grok-imagine-image-edit",</w:t>
        <w:br/>
        <w:t xml:space="preserve">  "prompt": "Change the red cube to cobalt blue and keep the white background",</w:t>
        <w:br/>
        <w:t xml:space="preserve">  "image": {</w:t>
        <w:br/>
        <w:t xml:space="preserve">    "url": "https://example.com/source.jpg"</w:t>
        <w:br/>
        <w:t xml:space="preserve">  },</w:t>
        <w:br/>
        <w:t xml:space="preserve">  "n": 1,</w:t>
        <w:br/>
        <w:t xml:space="preserve">  "aspect_ratio": "1:1",</w:t>
        <w:br/>
        <w:t xml:space="preserve">  "resolution": "1k",</w:t>
        <w:br/>
        <w:t xml:space="preserve">  "response_format": "url",</w:t>
        <w:br/>
        <w:t xml:space="preserve">  "stream": false</w:t>
        <w:br/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视频生成</w:t>
      </w:r>
    </w:p>
    <w:p>
      <w:r>
        <w:rPr>
          <w:rFonts w:ascii="Calibri" w:hAnsi="Calibri" w:eastAsia="Microsoft YaHei"/>
          <w:b w:val="0"/>
          <w:color w:val="000000"/>
          <w:sz w:val="22"/>
        </w:rPr>
        <w:t>模型：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grok-imagine-video</w:t>
      </w:r>
    </w:p>
    <w:p>
      <w:r>
        <w:rPr>
          <w:rFonts w:ascii="Calibri" w:hAnsi="Calibri" w:eastAsia="Microsoft YaHei"/>
          <w:b w:val="0"/>
          <w:color w:val="000000"/>
          <w:sz w:val="22"/>
        </w:rPr>
        <w:t>创建：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POST /v1/videos/generations</w:t>
      </w:r>
    </w:p>
    <w:p>
      <w:r>
        <w:rPr>
          <w:rFonts w:ascii="Calibri" w:hAnsi="Calibri" w:eastAsia="Microsoft YaHei"/>
          <w:b w:val="0"/>
          <w:color w:val="000000"/>
          <w:sz w:val="22"/>
        </w:rPr>
        <w:t>查询：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GET /v1/videos/{request_id}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5.1 清晰度支持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4"/>
        <w:gridCol w:w="5312"/>
        <w:gridCol w:w="2024"/>
      </w:tblGrid>
      <w:tr>
        <w:trPr>
          <w:tblHeader w:val="true"/>
        </w:trPr>
        <w:tc>
          <w:tcPr>
            <w:tcW w:type="dxa" w:w="2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请求清晰度</w:t>
            </w:r>
          </w:p>
        </w:tc>
        <w:tc>
          <w:tcPr>
            <w:tcW w:type="dxa" w:w="53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 Grok Web Basic 账号池</w:t>
            </w:r>
          </w:p>
        </w:tc>
        <w:tc>
          <w:tcPr>
            <w:tcW w:type="dxa" w:w="2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对接结论</w:t>
            </w:r>
          </w:p>
        </w:tc>
      </w:tr>
      <w:tr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480p</w:t>
            </w:r>
          </w:p>
        </w:tc>
        <w:tc>
          <w:tcPr>
            <w:tcW w:type="dxa" w:w="5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503，当前路由不可调度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不要用于生产</w:t>
            </w:r>
          </w:p>
        </w:tc>
      </w:tr>
      <w:tr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720p</w:t>
            </w:r>
          </w:p>
        </w:tc>
        <w:tc>
          <w:tcPr>
            <w:tcW w:type="dxa" w:w="5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生产环境显式指定</w:t>
            </w:r>
          </w:p>
        </w:tc>
      </w:tr>
      <w:tr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1080p</w:t>
            </w:r>
          </w:p>
        </w:tc>
        <w:tc>
          <w:tcPr>
            <w:tcW w:type="dxa" w:w="5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 400，Web 模型不支持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不要发送</w:t>
            </w:r>
          </w:p>
        </w:tc>
      </w:tr>
      <w:tr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省略</w:t>
            </w:r>
          </w:p>
        </w:tc>
        <w:tc>
          <w:tcPr>
            <w:tcW w:type="dxa" w:w="5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默认为 720p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仍建议显式填写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5.2 720p 实际尺寸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3744"/>
      </w:tblGrid>
      <w:tr>
        <w:trPr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请求比例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实际像素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时长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容器/编码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16:9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1280×720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6.042 秒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MP4 / H.264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avc1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9:16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720×1280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6.042 秒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MP4 / H.264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avc1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4:3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1104×832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6.042 秒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MP4 / H.264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avc1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3:4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832×1104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6.042 秒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MP4 / H.264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avc1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3:2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1168×784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6.042 秒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MP4 / H.264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avc1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1:1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960×960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6.042 秒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MP4 / H.264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avc1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2:3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784×1168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6.042 秒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MP4 / H.264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avc1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000000"/>
          <w:sz w:val="22"/>
        </w:rPr>
        <w:t>编码器会按像素块对齐，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4:3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3:4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3:2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2:3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不一定数学上完全相等。消费端应允许小幅误差，或直接使用文件真实宽高。视频不接受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aspect_ratio=auto</w:t>
      </w:r>
      <w:r>
        <w:rPr>
          <w:rFonts w:ascii="Calibri" w:hAnsi="Calibri" w:eastAsia="Microsoft YaHei"/>
          <w:b w:val="0"/>
          <w:color w:val="000000"/>
          <w:sz w:val="22"/>
        </w:rPr>
        <w:t>；省略比例时默认 16:9。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创建示例：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b w:val="0"/>
          <w:color w:val="233044"/>
          <w:sz w:val="17"/>
        </w:rPr>
        <w:t>{</w:t>
        <w:br/>
        <w:t xml:space="preserve">  "model": "grok-imagine-video",</w:t>
        <w:br/>
        <w:t xml:space="preserve">  "prompt": "A red paper airplane glides over a white desk",</w:t>
        <w:br/>
        <w:t xml:space="preserve">  "duration": 6,</w:t>
        <w:br/>
        <w:t xml:space="preserve">  "aspect_ratio": "16:9",</w:t>
        <w:br/>
        <w:t xml:space="preserve">  "resolution": "720p"</w:t>
        <w:br/>
        <w:t>}</w:t>
      </w:r>
    </w:p>
    <w:p>
      <w:r>
        <w:rPr>
          <w:rFonts w:ascii="Calibri" w:hAnsi="Calibri" w:eastAsia="Microsoft YaHei"/>
          <w:b w:val="0"/>
          <w:color w:val="000000"/>
          <w:sz w:val="22"/>
        </w:rPr>
        <w:t>推荐轮询流程：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创建接口返回 200 后立即保存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request_id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每 5-10 秒查询一次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/v1/videos/{request_id}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status=pending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或处理中状态继续等待。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只有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status=done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且视频 URL 可读取才算成功。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 w:eastAsia="Microsoft YaHei"/>
          <w:b w:val="0"/>
          <w:color w:val="000000"/>
          <w:sz w:val="22"/>
          <w:shd w:fill="F2F4F7"/>
        </w:rPr>
        <w:t>status=failed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时记录错误，不要继续轮询同一个 ID。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已拿到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request_id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后不要重新创建任务，否则可能重复计费并生成重复视频。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错误与重试策略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2"/>
        <w:gridCol w:w="3404"/>
        <w:gridCol w:w="4254"/>
      </w:tblGrid>
      <w:tr>
        <w:trPr>
          <w:tblHeader w:val="true"/>
        </w:trPr>
        <w:tc>
          <w:tcPr>
            <w:tcW w:type="dxa" w:w="170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HTTP/状态</w:t>
            </w:r>
          </w:p>
        </w:tc>
        <w:tc>
          <w:tcPr>
            <w:tcW w:type="dxa" w:w="340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42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下游处理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400</w:t>
            </w:r>
          </w:p>
        </w:tc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参数、模型或接口不支持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修正请求，不重试原参数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401</w:t>
            </w:r>
          </w:p>
        </w:tc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Client Key 或上游账号认证异常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停止快速重试，检查凭据/账号状态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403 code 7</w:t>
            </w:r>
          </w:p>
        </w:tc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Grok Statsig 页面签名过期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upscale.2</w:t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 已在网关内部失效签名并重签一次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429</w:t>
            </w:r>
          </w:p>
        </w:tc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配额或速率限制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指数退避，并切换有额度的账号/Key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502</w:t>
            </w:r>
          </w:p>
        </w:tc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上游连接、代理 EOF 或媒体传输失败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最多重试 2 次，使用 2-5 秒抖动退避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503</w:t>
            </w:r>
          </w:p>
        </w:tc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当前没有可调度账号、规格或出口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检查模型规格、额度、出口健康；不要无间隔循环</w:t>
            </w:r>
          </w:p>
        </w:tc>
      </w:tr>
      <w:tr>
        <w:tc>
          <w:tcPr>
            <w:tcW w:type="dxa" w:w="17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 xml:space="preserve">视频 </w:t>
            </w:r>
            <w:r>
              <w:rPr>
                <w:rFonts w:ascii="Consolas" w:hAnsi="Consolas" w:eastAsia="Microsoft YaHei"/>
                <w:b w:val="0"/>
                <w:color w:val="000000"/>
                <w:sz w:val="17"/>
                <w:shd w:fill="F2F4F7"/>
              </w:rPr>
              <w:t>failed</w:t>
            </w:r>
          </w:p>
        </w:tc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异步任务最终失败</w:t>
            </w:r>
          </w:p>
        </w:tc>
        <w:tc>
          <w:tcPr>
            <w:tcW w:type="dxa" w:w="4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记录任务 ID 和错误；确认可重试后创建新任务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000000"/>
          <w:sz w:val="22"/>
        </w:rPr>
        <w:t>同步图片请求重试可能在上游已受理但响应丢失时产生重复结果。对业务订单应使用自己的请求记录和去重键，不能把“客户端超时”直接等同于“上游未执行”。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代理与稳定性测试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7.1 测试过程</w:t>
      </w:r>
    </w:p>
    <w:p>
      <w:r>
        <w:rPr>
          <w:rFonts w:ascii="Calibri" w:hAnsi="Calibri" w:eastAsia="Microsoft YaHei"/>
          <w:b w:val="0"/>
          <w:color w:val="000000"/>
          <w:sz w:val="22"/>
        </w:rPr>
        <w:t>ProxyHub 中先筛选了 9 个 US/JP/KR 住宅 OpenVPN 节点，每个节点连续 5 次访问 Grok 均成功，出口 IP 也保持不变。但基础连通成功不能代表图片上传、WebSocket 或视频长任务稳定，因此又对 5 个候选出口进行了真实模型调用。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98"/>
        <w:gridCol w:w="1498"/>
        <w:gridCol w:w="2433"/>
        <w:gridCol w:w="2433"/>
        <w:gridCol w:w="1498"/>
      </w:tblGrid>
      <w:tr>
        <w:trPr>
          <w:tblHeader w:val="true"/>
        </w:trPr>
        <w:tc>
          <w:tcPr>
            <w:tcW w:type="dxa" w:w="149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候选</w:t>
            </w:r>
          </w:p>
        </w:tc>
        <w:tc>
          <w:tcPr>
            <w:tcW w:type="dxa" w:w="149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文字</w:t>
            </w:r>
          </w:p>
        </w:tc>
        <w:tc>
          <w:tcPr>
            <w:tcW w:type="dxa" w:w="243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标准文生图</w:t>
            </w:r>
          </w:p>
        </w:tc>
        <w:tc>
          <w:tcPr>
            <w:tcW w:type="dxa" w:w="243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图片编辑/长媒体</w:t>
            </w:r>
          </w:p>
        </w:tc>
        <w:tc>
          <w:tcPr>
            <w:tcW w:type="dxa" w:w="149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结论</w:t>
            </w:r>
          </w:p>
        </w:tc>
      </w:tr>
      <w:tr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US-A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WebSocket 有波动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不稳定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删除</w:t>
            </w:r>
          </w:p>
        </w:tc>
      </w:tr>
      <w:tr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US-B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单节点出现波动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删除临时出口</w:t>
            </w:r>
          </w:p>
        </w:tc>
      </w:tr>
      <w:tr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US-C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编辑矩阵与 3 条视频成功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选为正式主节点</w:t>
            </w:r>
          </w:p>
        </w:tc>
      </w:tr>
      <w:tr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JP-A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失败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不适合媒体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删除</w:t>
            </w:r>
          </w:p>
        </w:tc>
      </w:tr>
      <w:tr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KR-A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失败</w:t>
            </w:r>
          </w:p>
        </w:tc>
        <w:tc>
          <w:tcPr>
            <w:tcW w:type="dxa" w:w="24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不适合媒体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删除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7.2 最终配置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ProxyHub 正式出口：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</w:t>
      </w:r>
      <w:r>
        <w:rPr>
          <w:rFonts w:ascii="Calibri" w:hAnsi="Calibri" w:eastAsia="Microsoft YaHei"/>
          <w:b w:val="0"/>
          <w:color w:val="000000"/>
          <w:sz w:val="22"/>
        </w:rPr>
        <w:t>，内部端口 19501。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模式：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pin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主出口：US-C 美国住宅 OpenVPN 节点。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备用：主节点不可用时，仅在同一筛选条件的美国住宅 OpenVPN 节点中自动回退。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Grok2API 出口节点：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proxyhub-grok_web-us-fixed-failover</w:t>
      </w:r>
      <w:r>
        <w:rPr>
          <w:rFonts w:ascii="Calibri" w:hAnsi="Calibri" w:eastAsia="Microsoft YaHei"/>
          <w:b w:val="0"/>
          <w:color w:val="000000"/>
          <w:sz w:val="22"/>
        </w:rPr>
        <w:t>，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proxyPool=true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最终探测：healthy，固定出口 IP 与预期一致。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正式端口复验：文字聊天 HTTP 200；图片编辑 HTTP 200；同一主节点的视频 1:1、2:3、16:9 全部完成。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本轮临时端口 19502-19506 已从 ProxyHub 数据库和配置删除，并停止监听。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选择固定出口是为了让 Grok SSO、Cloudflare Cookie、Statsig 和长连接保持同一网络身份。每次请求随机换国家/出口的 rotate 模式不适合 Grok Web 媒体任务。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7.3 Statsig 修复</w:t>
      </w:r>
    </w:p>
    <w:p>
      <w:r>
        <w:rPr>
          <w:rFonts w:ascii="Calibri" w:hAnsi="Calibri" w:eastAsia="Microsoft YaHei"/>
          <w:b w:val="0"/>
          <w:color w:val="000000"/>
          <w:sz w:val="22"/>
        </w:rPr>
        <w:t>公共签名服务受 Cloudflare 保护时，旧实现会继续使用过期签名，并收到：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b w:val="0"/>
          <w:color w:val="233044"/>
          <w:sz w:val="17"/>
        </w:rPr>
        <w:t>403 / code 7 / This page is out of date. Reload to continue.</w:t>
      </w:r>
    </w:p>
    <w:p>
      <w:r>
        <w:rPr>
          <w:rFonts w:ascii="Calibri" w:hAnsi="Calibri" w:eastAsia="Microsoft YaHei"/>
          <w:b w:val="0"/>
          <w:color w:val="000000"/>
          <w:sz w:val="22"/>
        </w:rPr>
        <w:t>当前部署增加了仅位于 Docker 内网的签名中继：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通过现有 FlareSolverr 获取匹配的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cf_clearance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与 User-Agent。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只接受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POST /sign</w:t>
      </w:r>
      <w:r>
        <w:rPr>
          <w:rFonts w:ascii="Calibri" w:hAnsi="Calibri" w:eastAsia="Microsoft YaHei"/>
          <w:b w:val="0"/>
          <w:color w:val="000000"/>
          <w:sz w:val="22"/>
        </w:rPr>
        <w:t>，限制请求体大小。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不记录 Cookie、完整 meta 或签名值。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签名服务 403 时刷新 Clearance 并重试一次。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Grok 媒体接口返回明确的 code 7 时，网关使缓存签名失效并重新签名一次。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签名缓存由 1 小时缩短为 90 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 质量守护</w:t>
      </w:r>
    </w:p>
    <w:p>
      <w:r>
        <w:rPr>
          <w:rFonts w:ascii="Calibri" w:hAnsi="Calibri" w:eastAsia="Microsoft YaHei"/>
          <w:b w:val="0"/>
          <w:color w:val="000000"/>
          <w:sz w:val="22"/>
        </w:rPr>
        <w:t xml:space="preserve">质量守护 Sidecar 已启用并运行在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hybrid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模式：主动探测间隔 30 分钟，被动审计轮询 5 秒，连续异常才隔离，隔离 5 分钟，并保持至少 3 个健康 Build 出口。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failClosed=false</w:t>
      </w:r>
      <w:r>
        <w:rPr>
          <w:rFonts w:ascii="Calibri" w:hAnsi="Calibri" w:eastAsia="Microsoft YaHei"/>
          <w:b w:val="0"/>
          <w:color w:val="000000"/>
          <w:sz w:val="22"/>
        </w:rPr>
        <w:t>，避免守护组件自身异常导致全部业务停服。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注意：当前质量守护针对 Grok Build 文字出口质量，不替代 Grok Web 图片/视频的真实媒体验收。媒体稳定性仍应监控图片成功落盘率、视频最终完成率、502/503 比例和任务耗时。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 验收状态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487 个 Grok Web 账号：全部 enabled、active，验收时无账号级 cooldown。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测试专用 Client Key：验收结束后已禁用，并恢复并发 2。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Grok2API：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v3.1.3-upscale.2</w:t>
      </w:r>
      <w:r>
        <w:rPr>
          <w:rFonts w:ascii="Calibri" w:hAnsi="Calibri" w:eastAsia="Microsoft YaHei"/>
          <w:b w:val="0"/>
          <w:color w:val="000000"/>
          <w:sz w:val="22"/>
        </w:rPr>
        <w:t>，容器健康。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Statsig 中继：容器运行，未暴露公网端口。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ProxyHub：只保留通用出口和正式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grok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出口；5 个临时候选已实际删除。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 xml:space="preserve">原始结构化结果位于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test-results/web-media-matrix-20260819/</w:t>
      </w:r>
      <w:r>
        <w:rPr>
          <w:rFonts w:ascii="Calibri" w:hAnsi="Calibri" w:eastAsia="Microsoft YaHei"/>
          <w:b w:val="0"/>
          <w:color w:val="000000"/>
          <w:sz w:val="22"/>
        </w:rPr>
        <w:t xml:space="preserve"> 和 </w:t>
      </w:r>
      <w:r>
        <w:rPr>
          <w:rFonts w:ascii="Consolas" w:hAnsi="Consolas" w:eastAsia="Microsoft YaHei"/>
          <w:b w:val="0"/>
          <w:color w:val="000000"/>
          <w:sz w:val="22"/>
          <w:shd w:fill="F2F4F7"/>
        </w:rPr>
        <w:t>test-results/web-image-edit-20260819/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本文档不包含服务器密码、管理密码、代理密码、Client Key、Cookie 或账号 Token。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7"/>
      </w:rPr>
      <w:t>Grok2API v3.1.3-upscale.2 · 2026-08-19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Grok Web 模型对接与实测指南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