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8B2" w:rsidRDefault="005528B2">
      <w:pPr>
        <w:spacing w:line="560" w:lineRule="exact"/>
        <w:rPr>
          <w:rFonts w:ascii="宋体" w:eastAsia="宋体" w:hAnsi="宋体" w:cs="宋体"/>
          <w:kern w:val="0"/>
          <w:szCs w:val="32"/>
        </w:rPr>
      </w:pP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中华人民共和国人民法院组织法</w:t>
      </w:r>
    </w:p>
    <w:p w:rsidR="005528B2" w:rsidRDefault="005528B2">
      <w:pPr>
        <w:spacing w:line="560" w:lineRule="exact"/>
        <w:rPr>
          <w:rFonts w:ascii="宋体" w:eastAsia="宋体" w:hAnsi="宋体" w:cs="宋体"/>
          <w:kern w:val="0"/>
          <w:szCs w:val="32"/>
        </w:rPr>
      </w:pPr>
    </w:p>
    <w:p w:rsidR="005528B2" w:rsidRDefault="00614D2C">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1979</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1</w:t>
      </w:r>
      <w:r>
        <w:rPr>
          <w:rFonts w:eastAsia="楷体_GB2312" w:cs="Arial" w:hint="eastAsia"/>
          <w:kern w:val="0"/>
          <w:szCs w:val="32"/>
        </w:rPr>
        <w:t>日第五届全国人民代表大会第二次会议通过</w:t>
      </w:r>
      <w:r>
        <w:rPr>
          <w:rFonts w:eastAsia="楷体_GB2312" w:cs="Arial" w:hint="eastAsia"/>
          <w:kern w:val="0"/>
          <w:szCs w:val="32"/>
        </w:rPr>
        <w:t xml:space="preserve">　</w:t>
      </w:r>
      <w:r>
        <w:rPr>
          <w:rFonts w:eastAsia="楷体_GB2312" w:cs="Arial" w:hint="eastAsia"/>
          <w:kern w:val="0"/>
          <w:szCs w:val="32"/>
        </w:rPr>
        <w:t>根据</w:t>
      </w:r>
      <w:r>
        <w:rPr>
          <w:rFonts w:eastAsia="楷体_GB2312" w:cs="Arial" w:hint="eastAsia"/>
          <w:kern w:val="0"/>
          <w:szCs w:val="32"/>
        </w:rPr>
        <w:t>1983</w:t>
      </w:r>
      <w:r>
        <w:rPr>
          <w:rFonts w:eastAsia="楷体_GB2312" w:cs="Arial" w:hint="eastAsia"/>
          <w:kern w:val="0"/>
          <w:szCs w:val="32"/>
        </w:rPr>
        <w:t>年</w:t>
      </w:r>
      <w:r>
        <w:rPr>
          <w:rFonts w:eastAsia="楷体_GB2312" w:cs="Arial" w:hint="eastAsia"/>
          <w:kern w:val="0"/>
          <w:szCs w:val="32"/>
        </w:rPr>
        <w:t>9</w:t>
      </w:r>
      <w:r>
        <w:rPr>
          <w:rFonts w:eastAsia="楷体_GB2312" w:cs="Arial" w:hint="eastAsia"/>
          <w:kern w:val="0"/>
          <w:szCs w:val="32"/>
        </w:rPr>
        <w:t>月</w:t>
      </w:r>
      <w:r>
        <w:rPr>
          <w:rFonts w:eastAsia="楷体_GB2312" w:cs="Arial" w:hint="eastAsia"/>
          <w:kern w:val="0"/>
          <w:szCs w:val="32"/>
        </w:rPr>
        <w:t>2</w:t>
      </w:r>
      <w:r>
        <w:rPr>
          <w:rFonts w:eastAsia="楷体_GB2312" w:cs="Arial" w:hint="eastAsia"/>
          <w:kern w:val="0"/>
          <w:szCs w:val="32"/>
        </w:rPr>
        <w:t>日第六届全国人民代表大会常务委员会第二次会议《关于修改〈中华人民共和国人民法院组织法〉的决定》第一次修正</w:t>
      </w:r>
      <w:r>
        <w:rPr>
          <w:rFonts w:eastAsia="楷体_GB2312" w:cs="Arial" w:hint="eastAsia"/>
          <w:kern w:val="0"/>
          <w:szCs w:val="32"/>
        </w:rPr>
        <w:t xml:space="preserve">　</w:t>
      </w:r>
      <w:r>
        <w:rPr>
          <w:rFonts w:eastAsia="楷体_GB2312" w:cs="Arial" w:hint="eastAsia"/>
          <w:kern w:val="0"/>
          <w:szCs w:val="32"/>
        </w:rPr>
        <w:t>根据</w:t>
      </w:r>
      <w:r>
        <w:rPr>
          <w:rFonts w:eastAsia="楷体_GB2312" w:cs="Arial" w:hint="eastAsia"/>
          <w:kern w:val="0"/>
          <w:szCs w:val="32"/>
        </w:rPr>
        <w:t>1986</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w:t>
      </w:r>
      <w:r>
        <w:rPr>
          <w:rFonts w:eastAsia="楷体_GB2312" w:cs="Arial" w:hint="eastAsia"/>
          <w:kern w:val="0"/>
          <w:szCs w:val="32"/>
        </w:rPr>
        <w:t>日第六届全国人民代表大会常务委员会第十八次会议《关于修改〈中华人民共和国地方各级人民代表大会和地方各级人民政府组织法〉的决定》第二次修正</w:t>
      </w:r>
      <w:r>
        <w:rPr>
          <w:rFonts w:eastAsia="楷体_GB2312" w:cs="Arial" w:hint="eastAsia"/>
          <w:kern w:val="0"/>
          <w:szCs w:val="32"/>
        </w:rPr>
        <w:t xml:space="preserve">　</w:t>
      </w:r>
      <w:r>
        <w:rPr>
          <w:rFonts w:eastAsia="楷体_GB2312" w:cs="Arial" w:hint="eastAsia"/>
          <w:kern w:val="0"/>
          <w:szCs w:val="32"/>
        </w:rPr>
        <w:t>根据</w:t>
      </w:r>
      <w:r>
        <w:rPr>
          <w:rFonts w:eastAsia="楷体_GB2312" w:cs="Arial" w:hint="eastAsia"/>
          <w:kern w:val="0"/>
          <w:szCs w:val="32"/>
        </w:rPr>
        <w:t>2006</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31</w:t>
      </w:r>
      <w:r>
        <w:rPr>
          <w:rFonts w:eastAsia="楷体_GB2312" w:cs="Arial" w:hint="eastAsia"/>
          <w:kern w:val="0"/>
          <w:szCs w:val="32"/>
        </w:rPr>
        <w:t>日第十届全国人民代表大会常务委员会第二十四次会议《关于修改〈中华人民共和国人民法院组织法〉的决定》第三次修正</w:t>
      </w:r>
      <w:r>
        <w:rPr>
          <w:rFonts w:eastAsia="楷体_GB2312" w:cs="Arial" w:hint="eastAsia"/>
          <w:kern w:val="0"/>
          <w:szCs w:val="32"/>
        </w:rPr>
        <w:t xml:space="preserve">　</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日第十三届全国人民代表大会常务委员会第六次会议修订</w:t>
      </w:r>
      <w:r>
        <w:rPr>
          <w:rFonts w:eastAsia="楷体_GB2312" w:cs="Arial" w:hint="eastAsia"/>
          <w:kern w:val="0"/>
          <w:szCs w:val="32"/>
        </w:rPr>
        <w:t>）</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eastAsia="楷体_GB2312" w:cs="Arial"/>
          <w:kern w:val="0"/>
          <w:szCs w:val="32"/>
        </w:rPr>
      </w:pPr>
      <w:r>
        <w:rPr>
          <w:rFonts w:eastAsia="楷体_GB2312" w:cs="Arial" w:hint="eastAsia"/>
          <w:kern w:val="0"/>
          <w:szCs w:val="32"/>
        </w:rPr>
        <w:t>目　　录</w:t>
      </w:r>
    </w:p>
    <w:p w:rsidR="005528B2" w:rsidRDefault="00614D2C">
      <w:pPr>
        <w:spacing w:line="560" w:lineRule="exact"/>
        <w:rPr>
          <w:rFonts w:eastAsia="楷体_GB2312" w:cs="Arial"/>
          <w:kern w:val="0"/>
          <w:szCs w:val="32"/>
        </w:rPr>
      </w:pPr>
      <w:r>
        <w:rPr>
          <w:rFonts w:eastAsia="楷体_GB2312" w:cs="Arial" w:hint="eastAsia"/>
          <w:kern w:val="0"/>
          <w:szCs w:val="32"/>
        </w:rPr>
        <w:t xml:space="preserve">　　</w:t>
      </w:r>
      <w:r>
        <w:rPr>
          <w:rFonts w:eastAsia="楷体_GB2312" w:cs="Arial" w:hint="eastAsia"/>
          <w:kern w:val="0"/>
          <w:szCs w:val="32"/>
        </w:rPr>
        <w:t>第一章　总则</w:t>
      </w:r>
    </w:p>
    <w:p w:rsidR="005528B2" w:rsidRDefault="00614D2C">
      <w:pPr>
        <w:spacing w:line="560" w:lineRule="exact"/>
        <w:rPr>
          <w:rFonts w:eastAsia="楷体_GB2312" w:cs="Arial"/>
          <w:kern w:val="0"/>
          <w:szCs w:val="32"/>
        </w:rPr>
      </w:pPr>
      <w:r>
        <w:rPr>
          <w:rFonts w:eastAsia="楷体_GB2312" w:cs="Arial" w:hint="eastAsia"/>
          <w:kern w:val="0"/>
          <w:szCs w:val="32"/>
        </w:rPr>
        <w:t xml:space="preserve">　　</w:t>
      </w:r>
      <w:r>
        <w:rPr>
          <w:rFonts w:eastAsia="楷体_GB2312" w:cs="Arial" w:hint="eastAsia"/>
          <w:kern w:val="0"/>
          <w:szCs w:val="32"/>
        </w:rPr>
        <w:t>第二章　人民法院的设置和职权</w:t>
      </w:r>
    </w:p>
    <w:p w:rsidR="005528B2" w:rsidRDefault="00614D2C">
      <w:pPr>
        <w:spacing w:line="560" w:lineRule="exact"/>
        <w:rPr>
          <w:rFonts w:eastAsia="楷体_GB2312" w:cs="Arial"/>
          <w:kern w:val="0"/>
          <w:szCs w:val="32"/>
        </w:rPr>
      </w:pPr>
      <w:r>
        <w:rPr>
          <w:rFonts w:eastAsia="楷体_GB2312" w:cs="Arial" w:hint="eastAsia"/>
          <w:kern w:val="0"/>
          <w:szCs w:val="32"/>
        </w:rPr>
        <w:t xml:space="preserve">　　</w:t>
      </w:r>
      <w:r>
        <w:rPr>
          <w:rFonts w:eastAsia="楷体_GB2312" w:cs="Arial" w:hint="eastAsia"/>
          <w:kern w:val="0"/>
          <w:szCs w:val="32"/>
        </w:rPr>
        <w:t>第三章　人民法院的审判组织</w:t>
      </w:r>
    </w:p>
    <w:p w:rsidR="005528B2" w:rsidRDefault="00614D2C">
      <w:pPr>
        <w:spacing w:line="560" w:lineRule="exact"/>
        <w:rPr>
          <w:rFonts w:eastAsia="楷体_GB2312" w:cs="Arial"/>
          <w:kern w:val="0"/>
          <w:szCs w:val="32"/>
        </w:rPr>
      </w:pPr>
      <w:r>
        <w:rPr>
          <w:rFonts w:eastAsia="楷体_GB2312" w:cs="Arial" w:hint="eastAsia"/>
          <w:kern w:val="0"/>
          <w:szCs w:val="32"/>
        </w:rPr>
        <w:t xml:space="preserve">　　</w:t>
      </w:r>
      <w:r>
        <w:rPr>
          <w:rFonts w:eastAsia="楷体_GB2312" w:cs="Arial" w:hint="eastAsia"/>
          <w:kern w:val="0"/>
          <w:szCs w:val="32"/>
        </w:rPr>
        <w:t>第四章　人民法院的人员组成</w:t>
      </w:r>
    </w:p>
    <w:p w:rsidR="005528B2" w:rsidRDefault="00614D2C">
      <w:pPr>
        <w:spacing w:line="560" w:lineRule="exact"/>
        <w:rPr>
          <w:rFonts w:eastAsia="楷体_GB2312" w:cs="Arial"/>
          <w:kern w:val="0"/>
          <w:szCs w:val="32"/>
        </w:rPr>
      </w:pPr>
      <w:r>
        <w:rPr>
          <w:rFonts w:eastAsia="楷体_GB2312" w:cs="Arial" w:hint="eastAsia"/>
          <w:kern w:val="0"/>
          <w:szCs w:val="32"/>
        </w:rPr>
        <w:lastRenderedPageBreak/>
        <w:t xml:space="preserve">　　</w:t>
      </w:r>
      <w:r>
        <w:rPr>
          <w:rFonts w:eastAsia="楷体_GB2312" w:cs="Arial" w:hint="eastAsia"/>
          <w:kern w:val="0"/>
          <w:szCs w:val="32"/>
        </w:rPr>
        <w:t>第五章　人民法院行使职权的保障</w:t>
      </w:r>
    </w:p>
    <w:p w:rsidR="005528B2" w:rsidRDefault="00614D2C">
      <w:pPr>
        <w:spacing w:line="560" w:lineRule="exact"/>
        <w:rPr>
          <w:rFonts w:eastAsia="楷体_GB2312" w:cs="Arial"/>
          <w:kern w:val="0"/>
          <w:szCs w:val="32"/>
        </w:rPr>
      </w:pPr>
      <w:r>
        <w:rPr>
          <w:rFonts w:eastAsia="楷体_GB2312" w:cs="Arial" w:hint="eastAsia"/>
          <w:kern w:val="0"/>
          <w:szCs w:val="32"/>
        </w:rPr>
        <w:t xml:space="preserve">　　</w:t>
      </w:r>
      <w:r>
        <w:rPr>
          <w:rFonts w:eastAsia="楷体_GB2312" w:cs="Arial" w:hint="eastAsia"/>
          <w:kern w:val="0"/>
          <w:szCs w:val="32"/>
        </w:rPr>
        <w:t>第六章　附则</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rsidR="005528B2" w:rsidRDefault="005528B2">
      <w:pPr>
        <w:spacing w:line="560" w:lineRule="exact"/>
        <w:rPr>
          <w:rFonts w:ascii="宋体" w:eastAsia="宋体" w:hAnsi="宋体" w:cs="宋体"/>
          <w:kern w:val="0"/>
          <w:szCs w:val="32"/>
        </w:rPr>
      </w:pPr>
    </w:p>
    <w:p w:rsidR="005528B2" w:rsidRDefault="00614D2C">
      <w:pPr>
        <w:spacing w:line="560" w:lineRule="exact"/>
        <w:rPr>
          <w:rFonts w:cs="Arial"/>
          <w:kern w:val="0"/>
          <w:szCs w:val="32"/>
        </w:rPr>
      </w:pPr>
      <w:r>
        <w:rPr>
          <w:rFonts w:ascii="黑体" w:eastAsia="黑体" w:hAnsi="黑体" w:cs="黑体" w:hint="eastAsia"/>
          <w:kern w:val="0"/>
          <w:szCs w:val="32"/>
        </w:rPr>
        <w:t xml:space="preserve">　　</w:t>
      </w:r>
      <w:r>
        <w:rPr>
          <w:rFonts w:ascii="黑体" w:eastAsia="黑体" w:hAnsi="黑体" w:cs="黑体" w:hint="eastAsia"/>
          <w:kern w:val="0"/>
          <w:szCs w:val="32"/>
        </w:rPr>
        <w:t>第一条</w:t>
      </w:r>
      <w:r>
        <w:rPr>
          <w:rFonts w:cs="Arial" w:hint="eastAsia"/>
          <w:kern w:val="0"/>
          <w:szCs w:val="32"/>
        </w:rPr>
        <w:t xml:space="preserve">　为了规范人民法院的设置、组织和职权，保障人民法院依法履行职责，根据宪法，制定本法。</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人民法院是国家的审判机关。</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人民法院通过审判刑事案件、民事案件、行政案件以及法律规定的其他案件，惩罚犯罪，保障无罪的人不受刑事追究，解决民事、行政纠纷，保护个人和组织的合法权益，监督行政机关依法行使职权，维护国家安全和社会秩序，维护社会公平正义，维护国家法制统一、尊严和权威，保障中国特色社会主义建设的顺利进行。</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第三条</w:t>
      </w:r>
      <w:r>
        <w:rPr>
          <w:rFonts w:cs="Arial" w:hint="eastAsia"/>
          <w:kern w:val="0"/>
          <w:szCs w:val="32"/>
        </w:rPr>
        <w:t xml:space="preserve">　人民法院依照宪法、法律和全国人民代表大会常务委员会的决定设置。</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人民法院依照法律规定独立行使审判权，不受行政机关、社会团体和个人的干涉。</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人民法院审判</w:t>
      </w:r>
      <w:r>
        <w:rPr>
          <w:rFonts w:cs="Arial" w:hint="eastAsia"/>
          <w:kern w:val="0"/>
          <w:szCs w:val="32"/>
        </w:rPr>
        <w:t>案件在适用法律上一律平等，不允许任何组织和个人有超越法律的特权，禁止任何形式的歧视。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人民法院坚持司法公正，以事实为根据，以法律为准绳，遵守法定程序，依法保护个人和组织的诉讼权利和其他合</w:t>
      </w:r>
      <w:r>
        <w:rPr>
          <w:rFonts w:cs="Arial" w:hint="eastAsia"/>
          <w:kern w:val="0"/>
          <w:szCs w:val="32"/>
        </w:rPr>
        <w:lastRenderedPageBreak/>
        <w:t>法权益，尊重和保障人权。</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人民法院实行司法公开，法律另有规定的除外。</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人民法院实行司法责任制，建立健全权责统一的司法权力运行机制。</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最高人民法院对全国人民代表大会及其常务委员会负责并报告工作。地方各级人民法院对本级人民代表大会及其常务委员会负责并报告工作。</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各级人民代表大会及其常务委员会对本级人民法院的工作实施监督。</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最高人民法院是最高审判机关。</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最高人民法院监督地方各级人民法院和专门人民法院的审判工作</w:t>
      </w:r>
      <w:r>
        <w:rPr>
          <w:rFonts w:cs="Arial" w:hint="eastAsia"/>
          <w:kern w:val="0"/>
          <w:szCs w:val="32"/>
        </w:rPr>
        <w:t>,</w:t>
      </w:r>
      <w:r>
        <w:rPr>
          <w:rFonts w:cs="Arial" w:hint="eastAsia"/>
          <w:kern w:val="0"/>
          <w:szCs w:val="32"/>
        </w:rPr>
        <w:t>上级人民法院监督下级人民法院的审判工作。</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第十一条</w:t>
      </w:r>
      <w:r>
        <w:rPr>
          <w:rFonts w:cs="Arial" w:hint="eastAsia"/>
          <w:kern w:val="0"/>
          <w:szCs w:val="32"/>
        </w:rPr>
        <w:t xml:space="preserve">　人民法院应当接受人民群众监督，保障人民群众对人民法院工作依法享有知情权、参与权和监督权。</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黑体" w:eastAsia="黑体" w:hAnsi="黑体" w:cs="黑体"/>
          <w:kern w:val="0"/>
          <w:szCs w:val="32"/>
        </w:rPr>
      </w:pPr>
      <w:r>
        <w:rPr>
          <w:rFonts w:ascii="黑体" w:eastAsia="黑体" w:hAnsi="黑体" w:cs="黑体" w:hint="eastAsia"/>
          <w:kern w:val="0"/>
          <w:szCs w:val="32"/>
        </w:rPr>
        <w:t>第二章　人民法院的设置和职权</w:t>
      </w:r>
    </w:p>
    <w:p w:rsidR="005528B2" w:rsidRDefault="005528B2">
      <w:pPr>
        <w:spacing w:line="560" w:lineRule="exact"/>
        <w:rPr>
          <w:rFonts w:ascii="宋体" w:eastAsia="宋体" w:hAnsi="宋体" w:cs="宋体"/>
          <w:kern w:val="0"/>
          <w:szCs w:val="32"/>
        </w:rPr>
      </w:pPr>
    </w:p>
    <w:p w:rsidR="005528B2" w:rsidRDefault="00614D2C">
      <w:pPr>
        <w:spacing w:line="560" w:lineRule="exact"/>
        <w:rPr>
          <w:rFonts w:cs="Arial"/>
          <w:kern w:val="0"/>
          <w:szCs w:val="32"/>
        </w:rPr>
      </w:pPr>
      <w:r>
        <w:rPr>
          <w:rFonts w:ascii="黑体" w:eastAsia="黑体" w:hAnsi="黑体" w:cs="黑体" w:hint="eastAsia"/>
          <w:kern w:val="0"/>
          <w:szCs w:val="32"/>
        </w:rPr>
        <w:t xml:space="preserve">　　</w:t>
      </w:r>
      <w:r>
        <w:rPr>
          <w:rFonts w:ascii="黑体" w:eastAsia="黑体" w:hAnsi="黑体" w:cs="黑体" w:hint="eastAsia"/>
          <w:kern w:val="0"/>
          <w:szCs w:val="32"/>
        </w:rPr>
        <w:t>第十二条</w:t>
      </w:r>
      <w:r>
        <w:rPr>
          <w:rFonts w:cs="Arial" w:hint="eastAsia"/>
          <w:kern w:val="0"/>
          <w:szCs w:val="32"/>
        </w:rPr>
        <w:t xml:space="preserve">　人民法院分为：</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（一）最高人民法院；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（二）地方各级人民法院；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（三）专门人民法院。</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地方各级人民法院分为高级人民法院、中级人民</w:t>
      </w:r>
      <w:r>
        <w:rPr>
          <w:rFonts w:cs="Arial" w:hint="eastAsia"/>
          <w:kern w:val="0"/>
          <w:szCs w:val="32"/>
        </w:rPr>
        <w:lastRenderedPageBreak/>
        <w:t>法院和基层人民法院。</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在新疆生产建设兵团设立的人民法院的组织、案件管辖范围和法官任免，依照全国人民代表大会常务委员会的有关规定。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专门人民法院包括军事法院和海事法院、知识产权法院、金融法院等。</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专门人民法院的设置、组织、职权和法官任免，由全国人民代表大会常务委员会规定。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最高人民法院审理下列案件：</w:t>
      </w:r>
    </w:p>
    <w:p w:rsidR="005528B2" w:rsidRDefault="00614D2C">
      <w:pPr>
        <w:spacing w:line="560" w:lineRule="exact"/>
        <w:rPr>
          <w:rFonts w:ascii="仿宋_GB2312" w:hAnsi="仿宋_GB2312" w:cs="仿宋_GB2312"/>
          <w:kern w:val="0"/>
          <w:szCs w:val="32"/>
        </w:rPr>
      </w:pPr>
      <w:r>
        <w:rPr>
          <w:rFonts w:cs="Arial" w:hint="eastAsia"/>
          <w:kern w:val="0"/>
          <w:szCs w:val="32"/>
        </w:rPr>
        <w:t xml:space="preserve">　　</w:t>
      </w:r>
      <w:r>
        <w:rPr>
          <w:rFonts w:cs="Arial" w:hint="eastAsia"/>
          <w:kern w:val="0"/>
          <w:szCs w:val="32"/>
        </w:rPr>
        <w:t>（一）法律规定由其管</w:t>
      </w:r>
      <w:r>
        <w:rPr>
          <w:rFonts w:ascii="仿宋_GB2312" w:hAnsi="仿宋_GB2312" w:cs="仿宋_GB2312" w:hint="eastAsia"/>
          <w:kern w:val="0"/>
          <w:szCs w:val="32"/>
        </w:rPr>
        <w:t>辖的和其认为应当由自己管辖的第一审案件；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（二）对高级人民法院判决和裁定的上诉、抗诉案件；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 xml:space="preserve">　</w:t>
      </w:r>
      <w:r>
        <w:rPr>
          <w:rFonts w:ascii="仿宋_GB2312" w:hAnsi="仿宋_GB2312" w:cs="仿宋_GB2312" w:hint="eastAsia"/>
          <w:kern w:val="0"/>
          <w:szCs w:val="32"/>
        </w:rPr>
        <w:t>（三）按照全国人民代表大会常务委员会的规定提起的上诉、抗诉案件；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（四）按照审判监督程序提起的再审案件；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（五）高级人民法院报请核准的死刑案件。</w:t>
      </w:r>
    </w:p>
    <w:p w:rsidR="005528B2" w:rsidRDefault="00614D2C">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死刑除依法由最高人民法院判决的以外，应当报请最高人民法院核准。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第十八条</w:t>
      </w:r>
      <w:r>
        <w:rPr>
          <w:rFonts w:cs="Arial" w:hint="eastAsia"/>
          <w:kern w:val="0"/>
          <w:szCs w:val="32"/>
        </w:rPr>
        <w:t xml:space="preserve">　最高人民法院可以对属于审判工作中具体应用法律的问题进行解释。</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最高人民法院可以发布指导性案例。</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最高人民法院可以设巡回法庭，审理最高人民法</w:t>
      </w:r>
      <w:r>
        <w:rPr>
          <w:rFonts w:cs="Arial" w:hint="eastAsia"/>
          <w:kern w:val="0"/>
          <w:szCs w:val="32"/>
        </w:rPr>
        <w:lastRenderedPageBreak/>
        <w:t>院依法确定的案件。</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巡回法庭是最高人民法院的组成部分。巡回法庭的判决和裁定即最高人民法院的判决和裁定。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高级人民法院包括：</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（一）省高级人民法院；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（二）自治区高级人民法院；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（三）直辖市高级人民法院。</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高级人民法院审理下列案件：</w:t>
      </w:r>
    </w:p>
    <w:p w:rsidR="005528B2" w:rsidRDefault="00614D2C">
      <w:pPr>
        <w:spacing w:line="560" w:lineRule="exact"/>
        <w:rPr>
          <w:rFonts w:ascii="仿宋_GB2312" w:hAnsi="仿宋_GB2312" w:cs="仿宋_GB2312"/>
          <w:kern w:val="0"/>
          <w:szCs w:val="32"/>
        </w:rPr>
      </w:pPr>
      <w:r>
        <w:rPr>
          <w:rFonts w:cs="Arial" w:hint="eastAsia"/>
          <w:kern w:val="0"/>
          <w:szCs w:val="32"/>
        </w:rPr>
        <w:t xml:space="preserve">　　</w:t>
      </w:r>
      <w:r>
        <w:rPr>
          <w:rFonts w:cs="Arial" w:hint="eastAsia"/>
          <w:kern w:val="0"/>
          <w:szCs w:val="32"/>
        </w:rPr>
        <w:t>（一）法律规定由其管</w:t>
      </w:r>
      <w:r>
        <w:rPr>
          <w:rFonts w:ascii="仿宋_GB2312" w:hAnsi="仿宋_GB2312" w:cs="仿宋_GB2312" w:hint="eastAsia"/>
          <w:kern w:val="0"/>
          <w:szCs w:val="32"/>
        </w:rPr>
        <w:t>辖的第一审案件；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（二）下级人民法院报请审理的第一审案件；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（三）最高人民法院指定管辖的第一审案件；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（四）对中级人民法院判决和裁定的上诉、抗诉案件；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（五）按照审判监督程序提起的再审案件；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（六）中级人民法院报请复核的死刑案件。</w:t>
      </w:r>
    </w:p>
    <w:p w:rsidR="005528B2" w:rsidRDefault="00614D2C">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中级人民法院包括：</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（一）省、自治区辖市的中级人民法院；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（二）在直辖市内设立的中级人民法院；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（三）自治州中级人民法院；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（四）在省、自治区内按地区设立的中级人民法院。</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第二十三条</w:t>
      </w:r>
      <w:r>
        <w:rPr>
          <w:rFonts w:cs="Arial" w:hint="eastAsia"/>
          <w:kern w:val="0"/>
          <w:szCs w:val="32"/>
        </w:rPr>
        <w:t xml:space="preserve">　中级人民法院审理下列案件：</w:t>
      </w:r>
    </w:p>
    <w:p w:rsidR="005528B2" w:rsidRDefault="00614D2C">
      <w:pPr>
        <w:spacing w:line="560" w:lineRule="exact"/>
        <w:rPr>
          <w:rFonts w:ascii="仿宋_GB2312" w:hAnsi="仿宋_GB2312" w:cs="仿宋_GB2312"/>
          <w:kern w:val="0"/>
          <w:szCs w:val="32"/>
        </w:rPr>
      </w:pPr>
      <w:r>
        <w:rPr>
          <w:rFonts w:cs="Arial" w:hint="eastAsia"/>
          <w:kern w:val="0"/>
          <w:szCs w:val="32"/>
        </w:rPr>
        <w:t xml:space="preserve">　　</w:t>
      </w:r>
      <w:r>
        <w:rPr>
          <w:rFonts w:cs="Arial" w:hint="eastAsia"/>
          <w:kern w:val="0"/>
          <w:szCs w:val="32"/>
        </w:rPr>
        <w:t>（一）法律规定由其</w:t>
      </w:r>
      <w:r>
        <w:rPr>
          <w:rFonts w:ascii="仿宋_GB2312" w:hAnsi="仿宋_GB2312" w:cs="仿宋_GB2312" w:hint="eastAsia"/>
          <w:kern w:val="0"/>
          <w:szCs w:val="32"/>
        </w:rPr>
        <w:t>管辖的第一审案件；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（二）基层人民法院报请审理的第一审案件；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w:t>
      </w:r>
      <w:r>
        <w:rPr>
          <w:rFonts w:ascii="仿宋_GB2312" w:hAnsi="仿宋_GB2312" w:cs="仿宋_GB2312" w:hint="eastAsia"/>
          <w:kern w:val="0"/>
          <w:szCs w:val="32"/>
        </w:rPr>
        <w:t>（三）上级人民法院指定管辖的第一审案件；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（四）对基层人民法院判决和裁定的上诉、抗诉案件；</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（五）按照审判监督程序提起的再审案件。</w:t>
      </w:r>
    </w:p>
    <w:p w:rsidR="005528B2" w:rsidRDefault="00614D2C">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基层人民法院包括：</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（一）县、自治县人民法院；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（二）不设区的市人民法院；</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（三）市辖区人民法院。</w:t>
      </w:r>
    </w:p>
    <w:p w:rsidR="005528B2" w:rsidRDefault="00614D2C">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基层人</w:t>
      </w:r>
      <w:r>
        <w:rPr>
          <w:rFonts w:ascii="仿宋_GB2312" w:hAnsi="仿宋_GB2312" w:cs="仿宋_GB2312" w:hint="eastAsia"/>
          <w:kern w:val="0"/>
          <w:szCs w:val="32"/>
        </w:rPr>
        <w:t>民法院审理第一审案件，法律另有规定的除外。</w:t>
      </w:r>
    </w:p>
    <w:p w:rsidR="005528B2" w:rsidRDefault="00614D2C">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基层人民法院对人民调解委员会的调解工作进行业务指导。</w:t>
      </w:r>
    </w:p>
    <w:p w:rsidR="005528B2" w:rsidRDefault="00614D2C">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基层人民法院根据地区、人口和案件情况，可以设立若干人民法庭。</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人民法庭是基层人民法院的组成部分。人民法庭的判决和裁定即基层人民法院的判决和裁定。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人民法院根据审判工作需要，可以设必要的专业审判庭。法官员额较少的中级人民法院和基层人民法院，可以设综合审判庭或者不设审判庭。</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人民法院根据审判工作需要，可以设综合业务机构。法官员额较少的中级人民法院和基层人民法院，可以不设综合业务机构。</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人民法院根据工作需要，可以设必要的审判辅助机构和行政管理机构。</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第三章　人民法院的审判组织</w:t>
      </w:r>
    </w:p>
    <w:p w:rsidR="005528B2" w:rsidRDefault="005528B2">
      <w:pPr>
        <w:spacing w:line="560" w:lineRule="exact"/>
        <w:rPr>
          <w:rFonts w:ascii="宋体" w:eastAsia="宋体" w:hAnsi="宋体" w:cs="宋体"/>
          <w:kern w:val="0"/>
          <w:szCs w:val="32"/>
        </w:rPr>
      </w:pPr>
    </w:p>
    <w:p w:rsidR="005528B2" w:rsidRDefault="00614D2C">
      <w:pPr>
        <w:spacing w:line="560" w:lineRule="exact"/>
        <w:rPr>
          <w:rFonts w:cs="Arial"/>
          <w:kern w:val="0"/>
          <w:szCs w:val="32"/>
        </w:rPr>
      </w:pPr>
      <w:r>
        <w:rPr>
          <w:rFonts w:ascii="黑体" w:eastAsia="黑体" w:hAnsi="黑体" w:cs="黑体" w:hint="eastAsia"/>
          <w:kern w:val="0"/>
          <w:szCs w:val="32"/>
        </w:rPr>
        <w:t xml:space="preserve">　　</w:t>
      </w:r>
      <w:r>
        <w:rPr>
          <w:rFonts w:ascii="黑体" w:eastAsia="黑体" w:hAnsi="黑体" w:cs="黑体" w:hint="eastAsia"/>
          <w:kern w:val="0"/>
          <w:szCs w:val="32"/>
        </w:rPr>
        <w:t>第二十九条</w:t>
      </w:r>
      <w:r>
        <w:rPr>
          <w:rFonts w:cs="Arial" w:hint="eastAsia"/>
          <w:kern w:val="0"/>
          <w:szCs w:val="32"/>
        </w:rPr>
        <w:t xml:space="preserve">　人民法院审理案件，由合议庭或者法官一人独任审理。</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合议庭和法官独任审理的案件范围由法律规定。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合议庭由法官组成，或者由法官和人民陪审员组成，成员为三人以上单数。</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合议庭由一名法官担任审判长。院长或者庭长参加审理案件时，由自己担任审判长。</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审判长主持庭审、组织评议案件，评议案件时与合议庭其他成员权利平等。</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合议庭评议案件应当按照多数人的意见作出决定，少数人的意见应当记入笔录。评议案件笔录由合议庭全体组成人员签名。</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合议庭或者法官独任审理案件形成的裁判文书，经合议庭组成人员或者独任法官签署，由人民法院发布。</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合议庭审理案件，法官对案件的事实认定和法律适用负责；法官独任审理案件，独任法官对案件的事实认定和法律适用负责。</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人民法院应当加强内部监督，审判活动有违法情形的，应当及时调查核实，并根据违法</w:t>
      </w:r>
      <w:r>
        <w:rPr>
          <w:rFonts w:cs="Arial" w:hint="eastAsia"/>
          <w:kern w:val="0"/>
          <w:szCs w:val="32"/>
        </w:rPr>
        <w:t>情形依法处理。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人民陪审员依照法律规定参加合议庭审理案</w:t>
      </w:r>
      <w:r>
        <w:rPr>
          <w:rFonts w:cs="Arial" w:hint="eastAsia"/>
          <w:kern w:val="0"/>
          <w:szCs w:val="32"/>
        </w:rPr>
        <w:lastRenderedPageBreak/>
        <w:t>件。</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中级以上人民法院设赔偿委员会，依法审理国家赔偿案件。</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赔偿委员会由三名以上法官组成，成员应当为单数，按照多数人的意见作出决定。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第三十六条</w:t>
      </w:r>
      <w:r>
        <w:rPr>
          <w:rFonts w:cs="Arial" w:hint="eastAsia"/>
          <w:kern w:val="0"/>
          <w:szCs w:val="32"/>
        </w:rPr>
        <w:t xml:space="preserve">　各级人民法院设审判委员会。审判委员会由院长、副院长和若干资深法官组成，成员应当为单数。</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审判委员会会议分为全体会议和专业委员会会议。</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中级以上人民法院根据审判工作需要，可以按照审判委员会委员专业和工作分工，召开刑事审判、民事行政审判等专业委员会会议。</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第三十七</w:t>
      </w:r>
      <w:r>
        <w:rPr>
          <w:rFonts w:ascii="黑体" w:eastAsia="黑体" w:hAnsi="黑体" w:cs="黑体" w:hint="eastAsia"/>
          <w:kern w:val="0"/>
          <w:szCs w:val="32"/>
        </w:rPr>
        <w:t>条</w:t>
      </w:r>
      <w:r>
        <w:rPr>
          <w:rFonts w:cs="Arial" w:hint="eastAsia"/>
          <w:kern w:val="0"/>
          <w:szCs w:val="32"/>
        </w:rPr>
        <w:t xml:space="preserve">　审判委员会履行下列职能：</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（一）总结审判工作经验；</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（二）讨论决定重大、疑难、复杂案件的法律适用；</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（三）讨论决定本院已经发生法律效力的判决、裁定、调解书是否应当再审；</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（四）讨论决定其他有关审判工作的重大问题。</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最高人民法院对属于审判工作中具体应用法律的问题进行解释，应当由审判委员会全体会议讨论通过；发布指导性案例，可以由审判委员会专业委员会会议讨论通过。</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第三十八条</w:t>
      </w:r>
      <w:r>
        <w:rPr>
          <w:rFonts w:cs="Arial" w:hint="eastAsia"/>
          <w:kern w:val="0"/>
          <w:szCs w:val="32"/>
        </w:rPr>
        <w:t xml:space="preserve">　审判委员会召开全体会议和专业委员会会议，应当有其组成人员的过半数出席。</w:t>
      </w:r>
    </w:p>
    <w:p w:rsidR="005528B2" w:rsidRDefault="00614D2C">
      <w:pPr>
        <w:spacing w:line="560" w:lineRule="exact"/>
        <w:rPr>
          <w:rFonts w:cs="Arial"/>
          <w:kern w:val="0"/>
          <w:szCs w:val="32"/>
        </w:rPr>
      </w:pPr>
      <w:r>
        <w:rPr>
          <w:rFonts w:cs="Arial" w:hint="eastAsia"/>
          <w:kern w:val="0"/>
          <w:szCs w:val="32"/>
        </w:rPr>
        <w:lastRenderedPageBreak/>
        <w:t xml:space="preserve">　　</w:t>
      </w:r>
      <w:r>
        <w:rPr>
          <w:rFonts w:cs="Arial" w:hint="eastAsia"/>
          <w:kern w:val="0"/>
          <w:szCs w:val="32"/>
        </w:rPr>
        <w:t>审判委员会会议由院长或者院长委托的</w:t>
      </w:r>
      <w:r>
        <w:rPr>
          <w:rFonts w:cs="Arial" w:hint="eastAsia"/>
          <w:kern w:val="0"/>
          <w:szCs w:val="32"/>
        </w:rPr>
        <w:t>副院长主持。审判委员会实行民主集中制。</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审判委员会举行会议时，同级人民检察院检察长或者检察长委托的副检察长可以列席。</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第三十九条</w:t>
      </w:r>
      <w:r>
        <w:rPr>
          <w:rFonts w:cs="Arial" w:hint="eastAsia"/>
          <w:kern w:val="0"/>
          <w:szCs w:val="32"/>
        </w:rPr>
        <w:t xml:space="preserve">　合议庭认为案件需要提交审判委员会讨论决定的，由审判长提出申请，院长批准。</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审判委员会讨论案件，合议庭对其汇报的事实负责，审判委员会委员对本人发表的意见和表决负责。审判委员会的决定，合议庭应当执行。</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审判委员会讨论案件的决定及其理由应当在裁判文书中公开，法律规定不公开的除外。</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黑体" w:eastAsia="黑体" w:hAnsi="黑体" w:cs="黑体"/>
          <w:kern w:val="0"/>
          <w:szCs w:val="32"/>
        </w:rPr>
      </w:pPr>
      <w:r>
        <w:rPr>
          <w:rFonts w:ascii="黑体" w:eastAsia="黑体" w:hAnsi="黑体" w:cs="黑体" w:hint="eastAsia"/>
          <w:kern w:val="0"/>
          <w:szCs w:val="32"/>
        </w:rPr>
        <w:t>第四章　人民法院的人员组成</w:t>
      </w:r>
    </w:p>
    <w:p w:rsidR="005528B2" w:rsidRDefault="005528B2">
      <w:pPr>
        <w:spacing w:line="560" w:lineRule="exact"/>
        <w:rPr>
          <w:rFonts w:ascii="宋体" w:eastAsia="宋体" w:hAnsi="宋体" w:cs="宋体"/>
          <w:kern w:val="0"/>
          <w:szCs w:val="32"/>
        </w:rPr>
      </w:pPr>
    </w:p>
    <w:p w:rsidR="005528B2" w:rsidRDefault="00614D2C">
      <w:pPr>
        <w:spacing w:line="560" w:lineRule="exact"/>
        <w:rPr>
          <w:rFonts w:cs="Arial"/>
          <w:kern w:val="0"/>
          <w:szCs w:val="32"/>
        </w:rPr>
      </w:pPr>
      <w:r>
        <w:rPr>
          <w:rFonts w:ascii="黑体" w:eastAsia="黑体" w:hAnsi="黑体" w:cs="黑体" w:hint="eastAsia"/>
          <w:kern w:val="0"/>
          <w:szCs w:val="32"/>
        </w:rPr>
        <w:t xml:space="preserve">　　</w:t>
      </w:r>
      <w:r>
        <w:rPr>
          <w:rFonts w:ascii="黑体" w:eastAsia="黑体" w:hAnsi="黑体" w:cs="黑体" w:hint="eastAsia"/>
          <w:kern w:val="0"/>
          <w:szCs w:val="32"/>
        </w:rPr>
        <w:t>第四十条</w:t>
      </w:r>
      <w:r>
        <w:rPr>
          <w:rFonts w:cs="Arial" w:hint="eastAsia"/>
          <w:kern w:val="0"/>
          <w:szCs w:val="32"/>
        </w:rPr>
        <w:t xml:space="preserve">　人民法院的审判人员由院长、副院长、审判委员会委员和审判员等人员组成。</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第四十一条</w:t>
      </w:r>
      <w:r>
        <w:rPr>
          <w:rFonts w:cs="Arial" w:hint="eastAsia"/>
          <w:kern w:val="0"/>
          <w:szCs w:val="32"/>
        </w:rPr>
        <w:t xml:space="preserve">　人民法院院长负责本院全面工作，监督本院审判工作，管理本院行政事务。人民法院副院长协助院长工作。</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第四十二条</w:t>
      </w:r>
      <w:r>
        <w:rPr>
          <w:rFonts w:cs="Arial" w:hint="eastAsia"/>
          <w:kern w:val="0"/>
          <w:szCs w:val="32"/>
        </w:rPr>
        <w:t xml:space="preserve">　最高人民法院院长由全国人民代表大会选举，副院长、审判委员会委员、庭长、副庭长和审判员由院长提请全国人民代表大会常务委员会任免。</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最高人民法院巡回法庭庭长、副庭长，由最高人民法院院长</w:t>
      </w:r>
      <w:r>
        <w:rPr>
          <w:rFonts w:cs="Arial" w:hint="eastAsia"/>
          <w:kern w:val="0"/>
          <w:szCs w:val="32"/>
        </w:rPr>
        <w:lastRenderedPageBreak/>
        <w:t>提请全国人民代表大会常务委员会任免。</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第四十三条</w:t>
      </w:r>
      <w:r>
        <w:rPr>
          <w:rFonts w:cs="Arial" w:hint="eastAsia"/>
          <w:kern w:val="0"/>
          <w:szCs w:val="32"/>
        </w:rPr>
        <w:t xml:space="preserve">　地方各级人民法院院长由本级人民代表大会选举，副院长、审判委员会委员、庭长、</w:t>
      </w:r>
      <w:r>
        <w:rPr>
          <w:rFonts w:cs="Arial" w:hint="eastAsia"/>
          <w:kern w:val="0"/>
          <w:szCs w:val="32"/>
        </w:rPr>
        <w:t>副庭长和审判员由院长提请本级人民代表大会常务委员会任免。</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在省、自治区内按地区设立的和在直辖市内设立的中级人民法院院长，由省、自治区、直辖市人民代表大会常务委员会根据主任会议的提名决定任免，副院长、审判委员会委员、庭长、副庭长和审判员由高级人民法院院长提请省、自治区、直辖市人民代表大会常务委员会任免。</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第四十四条</w:t>
      </w:r>
      <w:r>
        <w:rPr>
          <w:rFonts w:cs="Arial" w:hint="eastAsia"/>
          <w:kern w:val="0"/>
          <w:szCs w:val="32"/>
        </w:rPr>
        <w:t xml:space="preserve">　人民法院院长任期与产生它的人民代表大会每届任期相同。</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各级人民代表大会有权罢免由其选出的人民法院院长。在地方人民代表大会闭会期间，本级人民代表大会常务委员会认为人民法院院长需要撤换的，</w:t>
      </w:r>
      <w:r>
        <w:rPr>
          <w:rFonts w:cs="Arial" w:hint="eastAsia"/>
          <w:kern w:val="0"/>
          <w:szCs w:val="32"/>
        </w:rPr>
        <w:t>应当报请上级人民代表大会常务委员会批准。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第四十五条</w:t>
      </w:r>
      <w:r>
        <w:rPr>
          <w:rFonts w:cs="Arial" w:hint="eastAsia"/>
          <w:kern w:val="0"/>
          <w:szCs w:val="32"/>
        </w:rPr>
        <w:t xml:space="preserve">　人民法院的法官、审判辅助人员和司法行政人员实行分类管理。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第四十六条</w:t>
      </w:r>
      <w:r>
        <w:rPr>
          <w:rFonts w:cs="Arial" w:hint="eastAsia"/>
          <w:kern w:val="0"/>
          <w:szCs w:val="32"/>
        </w:rPr>
        <w:t xml:space="preserve">　法官实行员额制。法官员额根据案件数量、经济社会发展情况、人口数量和人民法院审级等因素确定。</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最高人民法院法官员额由最高人民法院商有关部门确定。地方各级人民法院法官员额，在省、自治区、直辖市内实行总量控制、动态管理。</w:t>
      </w:r>
    </w:p>
    <w:p w:rsidR="005528B2" w:rsidRDefault="00614D2C">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第四十七条</w:t>
      </w:r>
      <w:r>
        <w:rPr>
          <w:rFonts w:cs="Arial" w:hint="eastAsia"/>
          <w:kern w:val="0"/>
          <w:szCs w:val="32"/>
        </w:rPr>
        <w:t xml:space="preserve">　法官从取得法律职业资格并且具备法律规定的其他条件的人员中选任。初任法官应当由法官遴选委员会进行专业能力审核。上级人民法院的法官一般从下级人民法院</w:t>
      </w:r>
      <w:r>
        <w:rPr>
          <w:rFonts w:cs="Arial" w:hint="eastAsia"/>
          <w:kern w:val="0"/>
          <w:szCs w:val="32"/>
        </w:rPr>
        <w:t>的法官中择优遴选。</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院长应当具有法学专业知识和法律职业经历。副院长、审判委员会委员应当从法官、检察官或者其他具备法官、检察官条件的人员中产生。</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法官的职责、管理和保障，依照《中华人民共和国法官法》的规定。</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第四十八条</w:t>
      </w:r>
      <w:r>
        <w:rPr>
          <w:rFonts w:cs="Arial" w:hint="eastAsia"/>
          <w:kern w:val="0"/>
          <w:szCs w:val="32"/>
        </w:rPr>
        <w:t xml:space="preserve">　人民法院的法官助理在法官指导下负责审查案件材料、草拟法律文书等审判辅助事务。</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符合法官任职条件的法官助理，经遴选后可以按照法官任免程序任命为法官。</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第四十九条</w:t>
      </w:r>
      <w:r>
        <w:rPr>
          <w:rFonts w:cs="Arial" w:hint="eastAsia"/>
          <w:kern w:val="0"/>
          <w:szCs w:val="32"/>
        </w:rPr>
        <w:t xml:space="preserve">　人民法院的书记员负责法庭审理记录等审判辅助事务。</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第五十条</w:t>
      </w:r>
      <w:r>
        <w:rPr>
          <w:rFonts w:cs="Arial" w:hint="eastAsia"/>
          <w:kern w:val="0"/>
          <w:szCs w:val="32"/>
        </w:rPr>
        <w:t xml:space="preserve">　人民法院的司法警察负责法庭警戒、人员押解和看管等警务事项。</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司法警察依照《中华人民共和国人民警察法》管理。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第五十一条</w:t>
      </w:r>
      <w:r>
        <w:rPr>
          <w:rFonts w:cs="Arial" w:hint="eastAsia"/>
          <w:kern w:val="0"/>
          <w:szCs w:val="32"/>
        </w:rPr>
        <w:t xml:space="preserve">　人民法院根据审判工作需要，可以设司法技术人员，负责与审判工作有关的事项。</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黑体" w:eastAsia="黑体" w:hAnsi="黑体" w:cs="黑体"/>
          <w:kern w:val="0"/>
          <w:szCs w:val="32"/>
        </w:rPr>
      </w:pPr>
      <w:r>
        <w:rPr>
          <w:rFonts w:ascii="黑体" w:eastAsia="黑体" w:hAnsi="黑体" w:cs="黑体" w:hint="eastAsia"/>
          <w:kern w:val="0"/>
          <w:szCs w:val="32"/>
        </w:rPr>
        <w:t>第五章　人民法院行使职权的保障</w:t>
      </w:r>
    </w:p>
    <w:p w:rsidR="005528B2" w:rsidRDefault="005528B2">
      <w:pPr>
        <w:spacing w:line="560" w:lineRule="exact"/>
        <w:rPr>
          <w:rFonts w:ascii="宋体" w:eastAsia="宋体" w:hAnsi="宋体" w:cs="宋体"/>
          <w:kern w:val="0"/>
          <w:szCs w:val="32"/>
        </w:rPr>
      </w:pPr>
    </w:p>
    <w:p w:rsidR="005528B2" w:rsidRDefault="00614D2C">
      <w:pPr>
        <w:spacing w:line="560" w:lineRule="exact"/>
        <w:rPr>
          <w:rFonts w:cs="Arial"/>
          <w:kern w:val="0"/>
          <w:szCs w:val="32"/>
        </w:rPr>
      </w:pPr>
      <w:r>
        <w:rPr>
          <w:rFonts w:ascii="黑体" w:eastAsia="黑体" w:hAnsi="黑体" w:cs="黑体" w:hint="eastAsia"/>
          <w:kern w:val="0"/>
          <w:szCs w:val="32"/>
        </w:rPr>
        <w:t xml:space="preserve">　　</w:t>
      </w:r>
      <w:r>
        <w:rPr>
          <w:rFonts w:ascii="黑体" w:eastAsia="黑体" w:hAnsi="黑体" w:cs="黑体" w:hint="eastAsia"/>
          <w:kern w:val="0"/>
          <w:szCs w:val="32"/>
        </w:rPr>
        <w:t>第五十二条</w:t>
      </w:r>
      <w:r>
        <w:rPr>
          <w:rFonts w:cs="Arial" w:hint="eastAsia"/>
          <w:kern w:val="0"/>
          <w:szCs w:val="32"/>
        </w:rPr>
        <w:t xml:space="preserve">　任何单位或者个人不得要求法官从事超出法定职责范围的事务。</w:t>
      </w:r>
    </w:p>
    <w:p w:rsidR="005528B2" w:rsidRDefault="00614D2C">
      <w:pPr>
        <w:spacing w:line="560" w:lineRule="exact"/>
        <w:rPr>
          <w:rFonts w:cs="Arial"/>
          <w:kern w:val="0"/>
          <w:szCs w:val="32"/>
        </w:rPr>
      </w:pPr>
      <w:r>
        <w:rPr>
          <w:rFonts w:cs="Arial" w:hint="eastAsia"/>
          <w:kern w:val="0"/>
          <w:szCs w:val="32"/>
        </w:rPr>
        <w:t xml:space="preserve">　　</w:t>
      </w:r>
      <w:r>
        <w:rPr>
          <w:rFonts w:cs="Arial" w:hint="eastAsia"/>
          <w:kern w:val="0"/>
          <w:szCs w:val="32"/>
        </w:rPr>
        <w:t>对于领导干部等干预司法活动、插手具体案件处理，或者人民法院内部人员过问案件情况的，办案人员应当全面如实记录并报告；有违法违纪情形的，由有关机关根据情节轻重追究行为人的责任。</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第五十三条</w:t>
      </w:r>
      <w:r>
        <w:rPr>
          <w:rFonts w:cs="Arial" w:hint="eastAsia"/>
          <w:kern w:val="0"/>
          <w:szCs w:val="32"/>
        </w:rPr>
        <w:t xml:space="preserve">　人民法院作出的判决、裁定等生效法律文书，义务人应当依法履行；拒不履行的，依法追究法律责任。</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第五十四条</w:t>
      </w:r>
      <w:r>
        <w:rPr>
          <w:rFonts w:cs="Arial" w:hint="eastAsia"/>
          <w:kern w:val="0"/>
          <w:szCs w:val="32"/>
        </w:rPr>
        <w:t xml:space="preserve">　人民法院采取必要措施，维护法庭秩序和审判权威。对妨碍人民法院依法行使职权的违法犯罪行为，依法追究法律责任。</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第五十五条</w:t>
      </w:r>
      <w:r>
        <w:rPr>
          <w:rFonts w:cs="Arial" w:hint="eastAsia"/>
          <w:kern w:val="0"/>
          <w:szCs w:val="32"/>
        </w:rPr>
        <w:t xml:space="preserve">　人民法院实行培训制度，法官、审判辅助人员和司法行政人员应当接受理论和业务培训。</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第五十六条</w:t>
      </w:r>
      <w:r>
        <w:rPr>
          <w:rFonts w:cs="Arial" w:hint="eastAsia"/>
          <w:kern w:val="0"/>
          <w:szCs w:val="32"/>
        </w:rPr>
        <w:t xml:space="preserve">　人民法院人员编制实行专项管理。</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第五十七条</w:t>
      </w:r>
      <w:r>
        <w:rPr>
          <w:rFonts w:cs="Arial" w:hint="eastAsia"/>
          <w:kern w:val="0"/>
          <w:szCs w:val="32"/>
        </w:rPr>
        <w:t xml:space="preserve">　人民法院的经费按照事权划分的原则列入财政预算，保障审判工作需要。</w:t>
      </w:r>
    </w:p>
    <w:p w:rsidR="005528B2" w:rsidRDefault="00614D2C">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第五十八条</w:t>
      </w:r>
      <w:r>
        <w:rPr>
          <w:rFonts w:cs="Arial" w:hint="eastAsia"/>
          <w:kern w:val="0"/>
          <w:szCs w:val="32"/>
        </w:rPr>
        <w:t xml:space="preserve">　人民法院应当加强信息化建设，运用现代信息技术，促进司</w:t>
      </w:r>
      <w:r>
        <w:rPr>
          <w:rFonts w:cs="Arial" w:hint="eastAsia"/>
          <w:kern w:val="0"/>
          <w:szCs w:val="32"/>
        </w:rPr>
        <w:t>法公开，提高工作效率。</w:t>
      </w:r>
    </w:p>
    <w:p w:rsidR="005528B2" w:rsidRDefault="005528B2">
      <w:pPr>
        <w:spacing w:line="560" w:lineRule="exact"/>
        <w:rPr>
          <w:rFonts w:ascii="宋体" w:eastAsia="宋体" w:hAnsi="宋体" w:cs="宋体"/>
          <w:kern w:val="0"/>
          <w:szCs w:val="32"/>
        </w:rPr>
      </w:pPr>
    </w:p>
    <w:p w:rsidR="005528B2" w:rsidRDefault="00614D2C">
      <w:pPr>
        <w:spacing w:line="560" w:lineRule="exact"/>
        <w:jc w:val="center"/>
        <w:rPr>
          <w:rFonts w:ascii="黑体" w:eastAsia="黑体" w:hAnsi="黑体" w:cs="黑体"/>
          <w:kern w:val="0"/>
          <w:szCs w:val="32"/>
        </w:rPr>
      </w:pPr>
      <w:r>
        <w:rPr>
          <w:rFonts w:ascii="黑体" w:eastAsia="黑体" w:hAnsi="黑体" w:cs="黑体" w:hint="eastAsia"/>
          <w:kern w:val="0"/>
          <w:szCs w:val="32"/>
        </w:rPr>
        <w:t>第六章　附则</w:t>
      </w:r>
    </w:p>
    <w:p w:rsidR="005528B2" w:rsidRDefault="005528B2">
      <w:pPr>
        <w:spacing w:line="560" w:lineRule="exact"/>
        <w:rPr>
          <w:rFonts w:ascii="宋体" w:eastAsia="宋体" w:hAnsi="宋体" w:cs="宋体"/>
          <w:kern w:val="0"/>
          <w:szCs w:val="32"/>
        </w:rPr>
      </w:pPr>
      <w:bookmarkStart w:id="0" w:name="_GoBack"/>
    </w:p>
    <w:bookmarkEnd w:id="0"/>
    <w:p w:rsidR="005528B2" w:rsidRDefault="000F77AB">
      <w:pPr>
        <w:spacing w:line="560" w:lineRule="exact"/>
        <w:rPr>
          <w:rFonts w:cs="Arial"/>
          <w:kern w:val="0"/>
          <w:szCs w:val="32"/>
        </w:rPr>
      </w:pPr>
      <w:r w:rsidRPr="000F77AB">
        <w:rPr>
          <w:rFonts w:ascii="黑体" w:eastAsia="黑体" w:hAnsi="黑体" w:cs="黑体" w:hint="eastAsia"/>
          <w:kern w:val="0"/>
          <w:szCs w:val="32"/>
        </w:rPr>
        <w:lastRenderedPageBreak/>
        <w:t xml:space="preserve">　　</w:t>
      </w:r>
      <w:r w:rsidR="00614D2C">
        <w:rPr>
          <w:rFonts w:ascii="黑体" w:eastAsia="黑体" w:hAnsi="黑体" w:cs="黑体" w:hint="eastAsia"/>
          <w:kern w:val="0"/>
          <w:szCs w:val="32"/>
        </w:rPr>
        <w:t>第五十九条</w:t>
      </w:r>
      <w:r w:rsidR="00614D2C">
        <w:rPr>
          <w:rFonts w:cs="Arial" w:hint="eastAsia"/>
          <w:kern w:val="0"/>
          <w:szCs w:val="32"/>
        </w:rPr>
        <w:t xml:space="preserve">　本法自</w:t>
      </w:r>
      <w:r w:rsidR="00614D2C">
        <w:rPr>
          <w:rFonts w:cs="Arial" w:hint="eastAsia"/>
          <w:kern w:val="0"/>
          <w:szCs w:val="32"/>
        </w:rPr>
        <w:t>2019</w:t>
      </w:r>
      <w:r w:rsidR="00614D2C">
        <w:rPr>
          <w:rFonts w:cs="Arial" w:hint="eastAsia"/>
          <w:kern w:val="0"/>
          <w:szCs w:val="32"/>
        </w:rPr>
        <w:t>年</w:t>
      </w:r>
      <w:r w:rsidR="00614D2C">
        <w:rPr>
          <w:rFonts w:cs="Arial" w:hint="eastAsia"/>
          <w:kern w:val="0"/>
          <w:szCs w:val="32"/>
        </w:rPr>
        <w:t>1</w:t>
      </w:r>
      <w:r w:rsidR="00614D2C">
        <w:rPr>
          <w:rFonts w:cs="Arial" w:hint="eastAsia"/>
          <w:kern w:val="0"/>
          <w:szCs w:val="32"/>
        </w:rPr>
        <w:t>月</w:t>
      </w:r>
      <w:r w:rsidR="00614D2C">
        <w:rPr>
          <w:rFonts w:cs="Arial" w:hint="eastAsia"/>
          <w:kern w:val="0"/>
          <w:szCs w:val="32"/>
        </w:rPr>
        <w:t>1</w:t>
      </w:r>
      <w:r w:rsidR="00614D2C">
        <w:rPr>
          <w:rFonts w:cs="Arial" w:hint="eastAsia"/>
          <w:kern w:val="0"/>
          <w:szCs w:val="32"/>
        </w:rPr>
        <w:t>日起施行。</w:t>
      </w:r>
    </w:p>
    <w:sectPr w:rsidR="005528B2" w:rsidSect="005528B2">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D2C" w:rsidRDefault="00614D2C" w:rsidP="005528B2">
      <w:r>
        <w:separator/>
      </w:r>
    </w:p>
  </w:endnote>
  <w:endnote w:type="continuationSeparator" w:id="1">
    <w:p w:rsidR="00614D2C" w:rsidRDefault="00614D2C" w:rsidP="005528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8B2" w:rsidRDefault="005528B2">
    <w:pPr>
      <w:pStyle w:val="a6"/>
    </w:pPr>
    <w:r>
      <w:pict>
        <v:shapetype id="_x0000_t202" coordsize="21600,21600" o:spt="202" path="m,l,21600r21600,l21600,xe">
          <v:stroke joinstyle="miter"/>
          <v:path gradientshapeok="t" o:connecttype="rect"/>
        </v:shapetype>
        <v:shape id="_x0000_s1027" type="#_x0000_t202" style="position:absolute;margin-left:104pt;margin-top:0;width:2in;height:2in;z-index:2;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5528B2" w:rsidRDefault="00614D2C">
                <w:pPr>
                  <w:pStyle w:val="a6"/>
                  <w:rPr>
                    <w:rFonts w:ascii="宋体" w:eastAsia="宋体" w:hAnsi="宋体" w:cs="宋体"/>
                    <w:sz w:val="28"/>
                    <w:szCs w:val="28"/>
                  </w:rPr>
                </w:pPr>
                <w:r>
                  <w:rPr>
                    <w:rFonts w:ascii="宋体" w:eastAsia="宋体" w:hAnsi="宋体" w:cs="宋体" w:hint="eastAsia"/>
                    <w:sz w:val="28"/>
                    <w:szCs w:val="28"/>
                    <w:lang w:eastAsia="zh-CN"/>
                  </w:rPr>
                  <w:t xml:space="preserve">　—</w:t>
                </w:r>
                <w:r w:rsidR="005528B2">
                  <w:rPr>
                    <w:rFonts w:ascii="宋体" w:eastAsia="宋体" w:hAnsi="宋体" w:cs="宋体" w:hint="eastAsia"/>
                    <w:sz w:val="28"/>
                    <w:szCs w:val="28"/>
                  </w:rPr>
                  <w:fldChar w:fldCharType="begin"/>
                </w:r>
                <w:r>
                  <w:rPr>
                    <w:rFonts w:ascii="宋体" w:eastAsia="宋体" w:hAnsi="宋体" w:cs="宋体" w:hint="eastAsia"/>
                    <w:sz w:val="28"/>
                    <w:szCs w:val="28"/>
                    <w:lang w:eastAsia="zh-CN"/>
                  </w:rPr>
                  <w:instrText xml:space="preserve"> PAGE  \* MERGEFORMAT </w:instrText>
                </w:r>
                <w:r w:rsidR="005528B2">
                  <w:rPr>
                    <w:rFonts w:ascii="宋体" w:eastAsia="宋体" w:hAnsi="宋体" w:cs="宋体" w:hint="eastAsia"/>
                    <w:sz w:val="28"/>
                    <w:szCs w:val="28"/>
                  </w:rPr>
                  <w:fldChar w:fldCharType="separate"/>
                </w:r>
                <w:r w:rsidR="000F77AB">
                  <w:rPr>
                    <w:rFonts w:ascii="宋体" w:eastAsia="宋体" w:hAnsi="宋体" w:cs="宋体"/>
                    <w:noProof/>
                    <w:sz w:val="28"/>
                    <w:szCs w:val="28"/>
                  </w:rPr>
                  <w:t>12</w:t>
                </w:r>
                <w:r w:rsidR="005528B2">
                  <w:rPr>
                    <w:rFonts w:ascii="宋体" w:eastAsia="宋体" w:hAnsi="宋体" w:cs="宋体" w:hint="eastAsia"/>
                    <w:sz w:val="28"/>
                    <w:szCs w:val="28"/>
                  </w:rPr>
                  <w:fldChar w:fldCharType="end"/>
                </w:r>
                <w:r>
                  <w:rPr>
                    <w:rFonts w:ascii="宋体" w:eastAsia="宋体" w:hAnsi="宋体" w:cs="宋体" w:hint="eastAsia"/>
                    <w:sz w:val="28"/>
                    <w:szCs w:val="28"/>
                    <w:lang w:eastAsia="zh-CN"/>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8B2" w:rsidRDefault="005528B2">
    <w:pPr>
      <w:pStyle w:val="a6"/>
    </w:pPr>
    <w:r>
      <w:pict>
        <v:shapetype id="_x0000_t202" coordsize="21600,21600" o:spt="202" path="m,l,21600r21600,l21600,xe">
          <v:stroke joinstyle="miter"/>
          <v:path gradientshapeok="t" o:connecttype="rect"/>
        </v:shapetype>
        <v:shape id="_x0000_s1026" type="#_x0000_t202" style="position:absolute;margin-left:376.25pt;margin-top:0;width:63.2pt;height:2in;z-index:1;mso-position-horizontal-relative:margin"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filled="f" stroked="f" strokeweight=".5pt">
          <v:textbox style="mso-fit-shape-to-text:t" inset="0,0,0,0">
            <w:txbxContent>
              <w:p w:rsidR="005528B2" w:rsidRDefault="00614D2C">
                <w:pPr>
                  <w:pStyle w:val="a6"/>
                  <w:wordWrap w:val="0"/>
                  <w:jc w:val="right"/>
                  <w:rPr>
                    <w:rFonts w:ascii="宋体" w:eastAsia="宋体" w:hAnsi="宋体" w:cs="宋体"/>
                    <w:sz w:val="28"/>
                    <w:szCs w:val="28"/>
                  </w:rPr>
                </w:pPr>
                <w:r>
                  <w:rPr>
                    <w:rFonts w:ascii="宋体" w:eastAsia="宋体" w:hAnsi="宋体" w:cs="宋体" w:hint="eastAsia"/>
                    <w:sz w:val="28"/>
                    <w:szCs w:val="28"/>
                    <w:lang w:eastAsia="zh-CN"/>
                  </w:rPr>
                  <w:t>—</w:t>
                </w:r>
                <w:r w:rsidR="005528B2">
                  <w:rPr>
                    <w:rFonts w:ascii="宋体" w:eastAsia="宋体" w:hAnsi="宋体" w:cs="宋体" w:hint="eastAsia"/>
                    <w:sz w:val="28"/>
                    <w:szCs w:val="28"/>
                  </w:rPr>
                  <w:fldChar w:fldCharType="begin"/>
                </w:r>
                <w:r>
                  <w:rPr>
                    <w:rFonts w:ascii="宋体" w:eastAsia="宋体" w:hAnsi="宋体" w:cs="宋体" w:hint="eastAsia"/>
                    <w:sz w:val="28"/>
                    <w:szCs w:val="28"/>
                    <w:lang w:eastAsia="zh-CN"/>
                  </w:rPr>
                  <w:instrText xml:space="preserve"> PAGE  \* MERGEFORMAT </w:instrText>
                </w:r>
                <w:r w:rsidR="005528B2">
                  <w:rPr>
                    <w:rFonts w:ascii="宋体" w:eastAsia="宋体" w:hAnsi="宋体" w:cs="宋体" w:hint="eastAsia"/>
                    <w:sz w:val="28"/>
                    <w:szCs w:val="28"/>
                  </w:rPr>
                  <w:fldChar w:fldCharType="separate"/>
                </w:r>
                <w:r w:rsidR="000F77AB">
                  <w:rPr>
                    <w:rFonts w:ascii="宋体" w:eastAsia="宋体" w:hAnsi="宋体" w:cs="宋体"/>
                    <w:noProof/>
                    <w:sz w:val="28"/>
                    <w:szCs w:val="28"/>
                  </w:rPr>
                  <w:t>11</w:t>
                </w:r>
                <w:r w:rsidR="005528B2">
                  <w:rPr>
                    <w:rFonts w:ascii="宋体" w:eastAsia="宋体" w:hAnsi="宋体" w:cs="宋体" w:hint="eastAsia"/>
                    <w:sz w:val="28"/>
                    <w:szCs w:val="28"/>
                  </w:rPr>
                  <w:fldChar w:fldCharType="end"/>
                </w:r>
                <w:r>
                  <w:rPr>
                    <w:rFonts w:ascii="宋体" w:eastAsia="宋体" w:hAnsi="宋体" w:cs="宋体" w:hint="eastAsia"/>
                    <w:sz w:val="28"/>
                    <w:szCs w:val="28"/>
                    <w:lang w:eastAsia="zh-CN"/>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D2C" w:rsidRDefault="00614D2C" w:rsidP="005528B2">
      <w:r>
        <w:separator/>
      </w:r>
    </w:p>
  </w:footnote>
  <w:footnote w:type="continuationSeparator" w:id="1">
    <w:p w:rsidR="00614D2C" w:rsidRDefault="00614D2C" w:rsidP="005528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8B2" w:rsidRDefault="005528B2">
    <w:pPr>
      <w:pStyle w:val="a7"/>
      <w:pBdr>
        <w:bottom w:val="none" w:sz="0"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8B2" w:rsidRDefault="005528B2">
    <w:pPr>
      <w:pStyle w:val="a7"/>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oNotTrackMoves/>
  <w:defaultTabStop w:val="420"/>
  <w:evenAndOddHeaders/>
  <w:drawingGridHorizontalSpacing w:val="160"/>
  <w:drawingGridVerticalSpacing w:val="435"/>
  <w:displayHorizontalDrawingGridEvery w:val="0"/>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2FF2"/>
    <w:rsid w:val="000408C7"/>
    <w:rsid w:val="00047741"/>
    <w:rsid w:val="0005018B"/>
    <w:rsid w:val="00062E6C"/>
    <w:rsid w:val="000778B0"/>
    <w:rsid w:val="000803E8"/>
    <w:rsid w:val="000E7366"/>
    <w:rsid w:val="000F77AB"/>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528B2"/>
    <w:rsid w:val="005866F9"/>
    <w:rsid w:val="00597FF0"/>
    <w:rsid w:val="005B4D16"/>
    <w:rsid w:val="005C6A1B"/>
    <w:rsid w:val="005E5EEF"/>
    <w:rsid w:val="006125B7"/>
    <w:rsid w:val="00614D2C"/>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653A70E2"/>
    <w:rsid w:val="6C1E17DE"/>
    <w:rsid w:val="721E1E74"/>
    <w:rsid w:val="72406E3D"/>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28B2"/>
    <w:pPr>
      <w:widowControl w:val="0"/>
      <w:jc w:val="both"/>
    </w:pPr>
    <w:rPr>
      <w:rFonts w:eastAsia="仿宋_GB2312"/>
      <w:kern w:val="2"/>
      <w:sz w:val="32"/>
      <w:szCs w:val="24"/>
    </w:rPr>
  </w:style>
  <w:style w:type="paragraph" w:styleId="1">
    <w:name w:val="heading 1"/>
    <w:basedOn w:val="a"/>
    <w:next w:val="a"/>
    <w:link w:val="1Char"/>
    <w:qFormat/>
    <w:rsid w:val="005528B2"/>
    <w:pPr>
      <w:keepNext/>
      <w:keepLines/>
      <w:spacing w:before="340" w:after="330" w:line="578" w:lineRule="auto"/>
      <w:outlineLvl w:val="0"/>
    </w:pPr>
    <w:rPr>
      <w:b/>
      <w:bCs/>
      <w:kern w:val="44"/>
      <w:sz w:val="44"/>
      <w:szCs w:val="44"/>
      <w:lang/>
    </w:rPr>
  </w:style>
  <w:style w:type="paragraph" w:styleId="2">
    <w:name w:val="heading 2"/>
    <w:basedOn w:val="a"/>
    <w:next w:val="a"/>
    <w:link w:val="2Char"/>
    <w:uiPriority w:val="9"/>
    <w:qFormat/>
    <w:rsid w:val="005528B2"/>
    <w:pPr>
      <w:keepNext/>
      <w:keepLines/>
      <w:spacing w:before="260" w:after="260" w:line="416" w:lineRule="auto"/>
      <w:ind w:firstLineChars="200" w:firstLine="200"/>
      <w:jc w:val="left"/>
      <w:outlineLvl w:val="1"/>
    </w:pPr>
    <w:rPr>
      <w:rFonts w:ascii="Cambria" w:eastAsia="宋体" w:hAnsi="Cambria"/>
      <w:b/>
      <w:bCs/>
      <w:szCs w:val="32"/>
      <w:lang/>
    </w:rPr>
  </w:style>
  <w:style w:type="paragraph" w:styleId="3">
    <w:name w:val="heading 3"/>
    <w:basedOn w:val="a"/>
    <w:next w:val="a"/>
    <w:link w:val="3Char"/>
    <w:qFormat/>
    <w:rsid w:val="005528B2"/>
    <w:pPr>
      <w:keepNext/>
      <w:keepLines/>
      <w:spacing w:before="260" w:after="260" w:line="416" w:lineRule="auto"/>
      <w:outlineLvl w:val="2"/>
    </w:pPr>
    <w:rPr>
      <w:b/>
      <w:bCs/>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rsid w:val="005528B2"/>
    <w:pPr>
      <w:shd w:val="clear" w:color="auto" w:fill="000080"/>
    </w:pPr>
  </w:style>
  <w:style w:type="paragraph" w:styleId="a4">
    <w:name w:val="Plain Text"/>
    <w:basedOn w:val="a"/>
    <w:link w:val="Char"/>
    <w:uiPriority w:val="99"/>
    <w:unhideWhenUsed/>
    <w:qFormat/>
    <w:rsid w:val="005528B2"/>
    <w:rPr>
      <w:rFonts w:ascii="宋体" w:eastAsia="宋体" w:hAnsi="Courier New"/>
      <w:sz w:val="21"/>
      <w:szCs w:val="21"/>
      <w:lang/>
    </w:rPr>
  </w:style>
  <w:style w:type="paragraph" w:styleId="a5">
    <w:name w:val="Balloon Text"/>
    <w:basedOn w:val="a"/>
    <w:semiHidden/>
    <w:qFormat/>
    <w:rsid w:val="005528B2"/>
    <w:rPr>
      <w:sz w:val="18"/>
      <w:szCs w:val="18"/>
    </w:rPr>
  </w:style>
  <w:style w:type="paragraph" w:styleId="a6">
    <w:name w:val="footer"/>
    <w:basedOn w:val="a"/>
    <w:link w:val="Char0"/>
    <w:uiPriority w:val="99"/>
    <w:qFormat/>
    <w:rsid w:val="005528B2"/>
    <w:pPr>
      <w:tabs>
        <w:tab w:val="center" w:pos="4153"/>
        <w:tab w:val="right" w:pos="8306"/>
      </w:tabs>
      <w:snapToGrid w:val="0"/>
      <w:jc w:val="left"/>
    </w:pPr>
    <w:rPr>
      <w:sz w:val="18"/>
      <w:szCs w:val="18"/>
      <w:lang/>
    </w:rPr>
  </w:style>
  <w:style w:type="paragraph" w:styleId="a7">
    <w:name w:val="header"/>
    <w:basedOn w:val="a"/>
    <w:link w:val="Char1"/>
    <w:uiPriority w:val="99"/>
    <w:qFormat/>
    <w:rsid w:val="005528B2"/>
    <w:pPr>
      <w:pBdr>
        <w:bottom w:val="single" w:sz="6" w:space="1" w:color="auto"/>
      </w:pBdr>
      <w:tabs>
        <w:tab w:val="center" w:pos="4153"/>
        <w:tab w:val="right" w:pos="8306"/>
      </w:tabs>
      <w:snapToGrid w:val="0"/>
      <w:jc w:val="center"/>
    </w:pPr>
    <w:rPr>
      <w:sz w:val="18"/>
      <w:szCs w:val="18"/>
      <w:lang/>
    </w:rPr>
  </w:style>
  <w:style w:type="paragraph" w:styleId="10">
    <w:name w:val="toc 1"/>
    <w:basedOn w:val="a"/>
    <w:next w:val="a"/>
    <w:uiPriority w:val="39"/>
    <w:qFormat/>
    <w:rsid w:val="005528B2"/>
  </w:style>
  <w:style w:type="paragraph" w:styleId="a8">
    <w:name w:val="Subtitle"/>
    <w:basedOn w:val="a"/>
    <w:next w:val="a"/>
    <w:link w:val="Char2"/>
    <w:qFormat/>
    <w:rsid w:val="005528B2"/>
    <w:pPr>
      <w:spacing w:before="240" w:after="60" w:line="312" w:lineRule="auto"/>
      <w:jc w:val="center"/>
      <w:outlineLvl w:val="1"/>
    </w:pPr>
    <w:rPr>
      <w:rFonts w:ascii="Cambria" w:eastAsia="宋体" w:hAnsi="Cambria"/>
      <w:b/>
      <w:bCs/>
      <w:kern w:val="28"/>
      <w:szCs w:val="32"/>
      <w:lang/>
    </w:rPr>
  </w:style>
  <w:style w:type="paragraph" w:styleId="20">
    <w:name w:val="toc 2"/>
    <w:basedOn w:val="a"/>
    <w:next w:val="a"/>
    <w:uiPriority w:val="39"/>
    <w:qFormat/>
    <w:rsid w:val="005528B2"/>
    <w:pPr>
      <w:ind w:leftChars="200" w:left="420"/>
    </w:pPr>
  </w:style>
  <w:style w:type="paragraph" w:styleId="a9">
    <w:name w:val="Title"/>
    <w:basedOn w:val="a"/>
    <w:next w:val="a"/>
    <w:link w:val="Char3"/>
    <w:qFormat/>
    <w:rsid w:val="005528B2"/>
    <w:pPr>
      <w:spacing w:before="240" w:after="60"/>
      <w:jc w:val="center"/>
      <w:outlineLvl w:val="0"/>
    </w:pPr>
    <w:rPr>
      <w:rFonts w:ascii="Cambria" w:eastAsia="宋体" w:hAnsi="Cambria"/>
      <w:b/>
      <w:bCs/>
      <w:szCs w:val="32"/>
      <w:lang/>
    </w:rPr>
  </w:style>
  <w:style w:type="character" w:styleId="aa">
    <w:name w:val="Strong"/>
    <w:qFormat/>
    <w:rsid w:val="005528B2"/>
    <w:rPr>
      <w:b/>
      <w:bCs/>
    </w:rPr>
  </w:style>
  <w:style w:type="character" w:styleId="ab">
    <w:name w:val="page number"/>
    <w:basedOn w:val="a0"/>
    <w:qFormat/>
    <w:rsid w:val="005528B2"/>
  </w:style>
  <w:style w:type="character" w:styleId="ac">
    <w:name w:val="FollowedHyperlink"/>
    <w:qFormat/>
    <w:rsid w:val="005528B2"/>
    <w:rPr>
      <w:color w:val="800080"/>
      <w:u w:val="single"/>
    </w:rPr>
  </w:style>
  <w:style w:type="character" w:styleId="ad">
    <w:name w:val="Emphasis"/>
    <w:qFormat/>
    <w:rsid w:val="005528B2"/>
    <w:rPr>
      <w:i/>
      <w:iCs/>
    </w:rPr>
  </w:style>
  <w:style w:type="character" w:styleId="ae">
    <w:name w:val="Hyperlink"/>
    <w:uiPriority w:val="99"/>
    <w:qFormat/>
    <w:rsid w:val="005528B2"/>
    <w:rPr>
      <w:rFonts w:ascii="ˎ̥" w:hAnsi="ˎ̥" w:hint="default"/>
      <w:color w:val="0404B3"/>
      <w:sz w:val="18"/>
      <w:szCs w:val="18"/>
      <w:u w:val="none"/>
    </w:rPr>
  </w:style>
  <w:style w:type="paragraph" w:customStyle="1" w:styleId="Style20">
    <w:name w:val="_Style 20"/>
    <w:basedOn w:val="1"/>
    <w:next w:val="a"/>
    <w:uiPriority w:val="39"/>
    <w:qFormat/>
    <w:rsid w:val="005528B2"/>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rsid w:val="005528B2"/>
    <w:pPr>
      <w:numPr>
        <w:ilvl w:val="1"/>
        <w:numId w:val="1"/>
      </w:numPr>
      <w:ind w:firstLine="0"/>
      <w:jc w:val="left"/>
    </w:pPr>
    <w:rPr>
      <w:rFonts w:ascii="Calibri" w:eastAsia="宋体" w:hAnsi="Calibri"/>
      <w:sz w:val="30"/>
    </w:rPr>
  </w:style>
  <w:style w:type="character" w:customStyle="1" w:styleId="Char1">
    <w:name w:val="页眉 Char"/>
    <w:link w:val="a7"/>
    <w:uiPriority w:val="99"/>
    <w:qFormat/>
    <w:rsid w:val="005528B2"/>
    <w:rPr>
      <w:rFonts w:eastAsia="仿宋_GB2312"/>
      <w:kern w:val="2"/>
      <w:sz w:val="18"/>
      <w:szCs w:val="18"/>
    </w:rPr>
  </w:style>
  <w:style w:type="character" w:customStyle="1" w:styleId="Char">
    <w:name w:val="纯文本 Char"/>
    <w:link w:val="a4"/>
    <w:uiPriority w:val="99"/>
    <w:qFormat/>
    <w:rsid w:val="005528B2"/>
    <w:rPr>
      <w:rFonts w:ascii="宋体" w:hAnsi="Courier New" w:cs="Courier New"/>
      <w:kern w:val="2"/>
      <w:sz w:val="21"/>
      <w:szCs w:val="21"/>
    </w:rPr>
  </w:style>
  <w:style w:type="character" w:customStyle="1" w:styleId="Char10">
    <w:name w:val="纯文本 Char1"/>
    <w:qFormat/>
    <w:rsid w:val="005528B2"/>
    <w:rPr>
      <w:rFonts w:ascii="宋体" w:hAnsi="Courier New" w:cs="Courier New"/>
      <w:kern w:val="2"/>
      <w:sz w:val="21"/>
      <w:szCs w:val="21"/>
    </w:rPr>
  </w:style>
  <w:style w:type="character" w:customStyle="1" w:styleId="Char2">
    <w:name w:val="副标题 Char"/>
    <w:link w:val="a8"/>
    <w:qFormat/>
    <w:rsid w:val="005528B2"/>
    <w:rPr>
      <w:rFonts w:ascii="Cambria" w:hAnsi="Cambria" w:cs="Times New Roman"/>
      <w:b/>
      <w:bCs/>
      <w:kern w:val="28"/>
      <w:sz w:val="32"/>
      <w:szCs w:val="32"/>
    </w:rPr>
  </w:style>
  <w:style w:type="character" w:customStyle="1" w:styleId="1Char">
    <w:name w:val="标题 1 Char"/>
    <w:link w:val="1"/>
    <w:qFormat/>
    <w:rsid w:val="005528B2"/>
    <w:rPr>
      <w:rFonts w:eastAsia="仿宋_GB2312"/>
      <w:b/>
      <w:bCs/>
      <w:kern w:val="44"/>
      <w:sz w:val="44"/>
      <w:szCs w:val="44"/>
    </w:rPr>
  </w:style>
  <w:style w:type="character" w:customStyle="1" w:styleId="Char3">
    <w:name w:val="标题 Char"/>
    <w:link w:val="a9"/>
    <w:qFormat/>
    <w:rsid w:val="005528B2"/>
    <w:rPr>
      <w:rFonts w:ascii="Cambria" w:hAnsi="Cambria" w:cs="Times New Roman"/>
      <w:b/>
      <w:bCs/>
      <w:kern w:val="2"/>
      <w:sz w:val="32"/>
      <w:szCs w:val="32"/>
    </w:rPr>
  </w:style>
  <w:style w:type="character" w:customStyle="1" w:styleId="11Char">
    <w:name w:val="1.1 Char"/>
    <w:link w:val="11"/>
    <w:qFormat/>
    <w:rsid w:val="005528B2"/>
    <w:rPr>
      <w:rFonts w:ascii="Calibri" w:hAnsi="Calibri"/>
      <w:b/>
      <w:bCs/>
      <w:kern w:val="2"/>
      <w:sz w:val="30"/>
      <w:szCs w:val="32"/>
    </w:rPr>
  </w:style>
  <w:style w:type="character" w:customStyle="1" w:styleId="3Char">
    <w:name w:val="标题 3 Char"/>
    <w:link w:val="3"/>
    <w:semiHidden/>
    <w:qFormat/>
    <w:rsid w:val="005528B2"/>
    <w:rPr>
      <w:rFonts w:eastAsia="仿宋_GB2312"/>
      <w:b/>
      <w:bCs/>
      <w:kern w:val="2"/>
      <w:sz w:val="32"/>
      <w:szCs w:val="32"/>
    </w:rPr>
  </w:style>
  <w:style w:type="character" w:customStyle="1" w:styleId="2Char">
    <w:name w:val="标题 2 Char"/>
    <w:link w:val="2"/>
    <w:uiPriority w:val="9"/>
    <w:qFormat/>
    <w:rsid w:val="005528B2"/>
    <w:rPr>
      <w:rFonts w:ascii="Cambria" w:hAnsi="Cambria"/>
      <w:b/>
      <w:bCs/>
      <w:kern w:val="2"/>
      <w:sz w:val="32"/>
      <w:szCs w:val="32"/>
    </w:rPr>
  </w:style>
  <w:style w:type="character" w:customStyle="1" w:styleId="Char0">
    <w:name w:val="页脚 Char"/>
    <w:link w:val="a6"/>
    <w:uiPriority w:val="99"/>
    <w:qFormat/>
    <w:rsid w:val="005528B2"/>
    <w:rPr>
      <w:rFonts w:eastAsia="仿宋_GB2312"/>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782</Words>
  <Characters>4464</Characters>
  <Application>Microsoft Office Word</Application>
  <DocSecurity>0</DocSecurity>
  <Lines>37</Lines>
  <Paragraphs>10</Paragraphs>
  <ScaleCrop>false</ScaleCrop>
  <Company>Lenovo</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cp:lastModifiedBy>
  <cp:revision>60</cp:revision>
  <cp:lastPrinted>2016-11-15T16:26:00Z</cp:lastPrinted>
  <dcterms:created xsi:type="dcterms:W3CDTF">2016-10-19T07:39:00Z</dcterms:created>
  <dcterms:modified xsi:type="dcterms:W3CDTF">2019-02-20T04:14:00Z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