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F51C1" w14:textId="77777777" w:rsidR="00390FF9" w:rsidRDefault="00390FF9">
      <w:pPr>
        <w:pStyle w:val="a3"/>
        <w:jc w:val="center"/>
        <w:rPr>
          <w:rFonts w:ascii="Times New Roman" w:hAnsi="Times New Roman" w:cs="Times New Roman"/>
          <w:sz w:val="44"/>
          <w:szCs w:val="44"/>
        </w:rPr>
      </w:pPr>
    </w:p>
    <w:p w14:paraId="3760374D" w14:textId="77777777" w:rsidR="00390FF9" w:rsidRDefault="00B72F38">
      <w:pPr>
        <w:pStyle w:val="a3"/>
        <w:jc w:val="center"/>
        <w:rPr>
          <w:rFonts w:ascii="Times New Roman" w:hAnsi="Times New Roman" w:cs="Times New Roman"/>
          <w:sz w:val="32"/>
          <w:szCs w:val="32"/>
        </w:rPr>
      </w:pPr>
      <w:r>
        <w:rPr>
          <w:rFonts w:ascii="Times New Roman" w:hAnsi="Times New Roman" w:cs="Times New Roman"/>
          <w:sz w:val="44"/>
          <w:szCs w:val="44"/>
        </w:rPr>
        <w:t>中华人民共和国劳动保险条例</w:t>
      </w:r>
    </w:p>
    <w:p w14:paraId="013644D1" w14:textId="77777777" w:rsidR="00390FF9" w:rsidRDefault="00390FF9">
      <w:pPr>
        <w:pStyle w:val="a3"/>
        <w:ind w:firstLineChars="200" w:firstLine="640"/>
        <w:rPr>
          <w:rFonts w:ascii="方正楷体_GBK" w:eastAsia="方正楷体_GBK" w:hAnsi="方正楷体_GBK" w:cs="方正楷体_GBK"/>
          <w:sz w:val="32"/>
          <w:szCs w:val="32"/>
        </w:rPr>
      </w:pPr>
    </w:p>
    <w:p w14:paraId="19FAB01D" w14:textId="77777777" w:rsidR="00390FF9" w:rsidRDefault="00B72F38">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(1951年2月26日政务院公布　1953年1月2日政务院修正公布)</w:t>
      </w:r>
    </w:p>
    <w:p w14:paraId="41430621" w14:textId="77777777" w:rsidR="00390FF9" w:rsidRDefault="00B72F38">
      <w:pPr>
        <w:pStyle w:val="2"/>
        <w:jc w:val="center"/>
        <w:rPr>
          <w:rFonts w:ascii="方正黑体_GBK" w:eastAsia="方正黑体_GBK"/>
        </w:rPr>
      </w:pPr>
      <w:r>
        <w:rPr>
          <w:rFonts w:ascii="方正黑体_GBK" w:eastAsia="方正黑体_GBK" w:hAnsi="Times New Roman" w:cs="Times New Roman" w:hint="eastAsia"/>
        </w:rPr>
        <w:t>第一章　总则</w:t>
      </w:r>
    </w:p>
    <w:p w14:paraId="434EEACE"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第一条　</w:t>
      </w:r>
      <w:r>
        <w:rPr>
          <w:rFonts w:ascii="仿宋_GB2312" w:eastAsia="仿宋_GB2312" w:hAnsi="Times New Roman" w:cs="Times New Roman" w:hint="eastAsia"/>
          <w:sz w:val="32"/>
          <w:szCs w:val="32"/>
        </w:rPr>
        <w:t>为了保护工人职员的健康，减轻其生活中的困难，特依据目前经济条件，制定本条例。</w:t>
      </w:r>
    </w:p>
    <w:p w14:paraId="4592B5A8"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第二条　</w:t>
      </w:r>
      <w:r>
        <w:rPr>
          <w:rFonts w:ascii="仿宋_GB2312" w:eastAsia="仿宋_GB2312" w:hAnsi="Times New Roman" w:cs="Times New Roman" w:hint="eastAsia"/>
          <w:sz w:val="32"/>
          <w:szCs w:val="32"/>
        </w:rPr>
        <w:t>本条例的实施，采取逐步推广办法，目前的实施范围暂定如下：</w:t>
      </w:r>
    </w:p>
    <w:p w14:paraId="284FB930"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甲、有工人职员一百人以上的国营、公私合营、私营及合作社经营的工厂、矿场及其附属单位；</w:t>
      </w:r>
    </w:p>
    <w:p w14:paraId="15802109"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乙、铁路、航运、邮电的各企业单位与附属单位；</w:t>
      </w:r>
    </w:p>
    <w:p w14:paraId="6F800B64"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丙、工、矿、交通事业的基本建设单位；</w:t>
      </w:r>
    </w:p>
    <w:p w14:paraId="1E41F337"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丁、国营建筑公司。</w:t>
      </w:r>
    </w:p>
    <w:p w14:paraId="631C506E" w14:textId="2708058A"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关于本条例的实施范围继续推广办法由中央</w:t>
      </w:r>
      <w:r w:rsidR="003465E7">
        <w:rPr>
          <w:rFonts w:ascii="仿宋_GB2312" w:eastAsia="仿宋_GB2312" w:hAnsi="Times New Roman" w:cs="Times New Roman" w:hint="eastAsia"/>
          <w:sz w:val="32"/>
          <w:szCs w:val="32"/>
        </w:rPr>
        <w:t>人民政府</w:t>
      </w:r>
      <w:r>
        <w:rPr>
          <w:rFonts w:ascii="仿宋_GB2312" w:eastAsia="仿宋_GB2312" w:hAnsi="Times New Roman" w:cs="Times New Roman" w:hint="eastAsia"/>
          <w:sz w:val="32"/>
          <w:szCs w:val="32"/>
        </w:rPr>
        <w:t>劳动部根据实际情况随时提出意见，报请中央人民政府政务院决定之。</w:t>
      </w:r>
    </w:p>
    <w:p w14:paraId="504688CA"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第三条　</w:t>
      </w:r>
      <w:r>
        <w:rPr>
          <w:rFonts w:ascii="仿宋_GB2312" w:eastAsia="仿宋_GB2312" w:hAnsi="Times New Roman" w:cs="Times New Roman" w:hint="eastAsia"/>
          <w:sz w:val="32"/>
          <w:szCs w:val="32"/>
        </w:rPr>
        <w:t>不实行本条例的企业及季节性的企业，其有关劳动保险事项，得由各该企业或其所属产业或行业的行政方面或资方与工会组织，根据本条例的原则及本企业、本产业</w:t>
      </w:r>
      <w:r>
        <w:rPr>
          <w:rFonts w:ascii="仿宋_GB2312" w:eastAsia="仿宋_GB2312" w:hAnsi="Times New Roman" w:cs="Times New Roman" w:hint="eastAsia"/>
          <w:sz w:val="32"/>
          <w:szCs w:val="32"/>
        </w:rPr>
        <w:lastRenderedPageBreak/>
        <w:t>或本行业的实际情况协商，订立集体合同规定之。</w:t>
      </w:r>
    </w:p>
    <w:p w14:paraId="3CFA9EC0"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第四条　</w:t>
      </w:r>
      <w:r>
        <w:rPr>
          <w:rFonts w:ascii="仿宋_GB2312" w:eastAsia="仿宋_GB2312" w:hAnsi="Times New Roman" w:cs="Times New Roman" w:hint="eastAsia"/>
          <w:sz w:val="32"/>
          <w:szCs w:val="32"/>
        </w:rPr>
        <w:t>凡在实行劳动保险的企业内工作的工人与职员(包括学徒)，不分民族、年龄、性别和国籍，均适用本条例，但被剥夺政治权利者除外。</w:t>
      </w:r>
    </w:p>
    <w:p w14:paraId="75A8FEC5"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第五条　</w:t>
      </w:r>
      <w:r>
        <w:rPr>
          <w:rFonts w:ascii="仿宋_GB2312" w:eastAsia="仿宋_GB2312" w:hAnsi="Times New Roman" w:cs="Times New Roman" w:hint="eastAsia"/>
          <w:sz w:val="32"/>
          <w:szCs w:val="32"/>
        </w:rPr>
        <w:t>凡在实行劳动保险的企业内工作的临时工、季节工与试用人员，其劳动保险待遇在本条例实施细则中另行规定之。</w:t>
      </w:r>
    </w:p>
    <w:p w14:paraId="6F42AF4B"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第六条　</w:t>
      </w:r>
      <w:r>
        <w:rPr>
          <w:rFonts w:ascii="仿宋_GB2312" w:eastAsia="仿宋_GB2312" w:hAnsi="Times New Roman" w:cs="Times New Roman" w:hint="eastAsia"/>
          <w:sz w:val="32"/>
          <w:szCs w:val="32"/>
        </w:rPr>
        <w:t>本条例适用范围内的企业，因经济特殊困难不易维持，或尚未正式开工营业者，经企业行政方面或资方与工会基层委员会双方协商同意，并报请当地人民政府劳动行政机关批准后，可暂缓实行本条例。</w:t>
      </w:r>
    </w:p>
    <w:p w14:paraId="6C4BC774" w14:textId="77777777" w:rsidR="00390FF9" w:rsidRDefault="00B72F38">
      <w:pPr>
        <w:pStyle w:val="2"/>
        <w:jc w:val="center"/>
      </w:pPr>
      <w:r>
        <w:rPr>
          <w:rFonts w:ascii="方正黑体_GBK" w:eastAsia="方正黑体_GBK" w:hAnsi="Times New Roman" w:cs="Times New Roman" w:hint="eastAsia"/>
        </w:rPr>
        <w:t>第二章　劳动保险金的征集与保管</w:t>
      </w:r>
    </w:p>
    <w:p w14:paraId="322FAD0B"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第七条　</w:t>
      </w:r>
      <w:r>
        <w:rPr>
          <w:rFonts w:ascii="仿宋_GB2312" w:eastAsia="仿宋_GB2312" w:hAnsi="Times New Roman" w:cs="Times New Roman" w:hint="eastAsia"/>
          <w:sz w:val="32"/>
          <w:szCs w:val="32"/>
        </w:rPr>
        <w:t>本条例所规定之劳动保险的各项费用，全部由实行劳动保险的企业行政方面或资方负担，其中一部分由企业行政方面或资方直接支付，另一部分由企业行政方面或资方缴纳劳动保险金，交工会组织办理。</w:t>
      </w:r>
    </w:p>
    <w:p w14:paraId="6A0E5B3B"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第八条　</w:t>
      </w:r>
      <w:r>
        <w:rPr>
          <w:rFonts w:ascii="仿宋_GB2312" w:eastAsia="仿宋_GB2312" w:hAnsi="Times New Roman" w:cs="Times New Roman" w:hint="eastAsia"/>
          <w:sz w:val="32"/>
          <w:szCs w:val="32"/>
        </w:rPr>
        <w:t>凡根据本条例实行劳动保险的企业，其行政方面或资方须按月缴纳相当于各该企业全部工人与职员工资总额的百分之三，作为劳动保险金。此项劳动保险金，不得在工人与职员工资内扣除，并不得向工人与职员另行征收。</w:t>
      </w:r>
    </w:p>
    <w:p w14:paraId="43CED747"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第九条　</w:t>
      </w:r>
      <w:r>
        <w:rPr>
          <w:rFonts w:ascii="仿宋_GB2312" w:eastAsia="仿宋_GB2312" w:hAnsi="Times New Roman" w:cs="Times New Roman" w:hint="eastAsia"/>
          <w:sz w:val="32"/>
          <w:szCs w:val="32"/>
        </w:rPr>
        <w:t>劳动保险金的征集与保管方法如下：</w:t>
      </w:r>
    </w:p>
    <w:p w14:paraId="71258765"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lastRenderedPageBreak/>
        <w:t>甲、企业行政方面或资方，须按照上月份工资总额计算，于每月一日至十日限期内，一次向中华全国总工会指定代收劳动保险金的国家银行缴纳每月应缴的劳动保险金。</w:t>
      </w:r>
    </w:p>
    <w:p w14:paraId="47C82E45"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乙、在开始实行劳动保险的头两个月内，由企业行政方面或资方按月缴纳的劳动保险金，全数存于中华全国总工会户内，作为劳动保险总基金，为举办集体劳动保险事业之用。自开始实行的第三个月起，每月缴纳的劳动保险金，其中百分之三十，存于中华全国总工会户内，作为劳动保险总基金；百分之七十存于各该企业工会基层委员会户内，作为劳动保险基金，为支付工人与职员按照本条例应得的抚恤费、补助费与救济费之用。</w:t>
      </w:r>
    </w:p>
    <w:p w14:paraId="65A3DB37"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第十条　</w:t>
      </w:r>
      <w:r>
        <w:rPr>
          <w:rFonts w:ascii="仿宋_GB2312" w:eastAsia="仿宋_GB2312" w:hAnsi="Times New Roman" w:cs="Times New Roman" w:hint="eastAsia"/>
          <w:sz w:val="32"/>
          <w:szCs w:val="32"/>
        </w:rPr>
        <w:t>企业行政方面或资方逾期未缴或欠缴劳动保险金时，须每日增交滞纳金，其数额为未缴部分百分之一。如逾期二十日尚未缴纳，对于国营、地方国营、公私合营或合作社经营的企业，由工会基层委员会通知当地国家银行从其经费中扣缴；对于私营企业，由工会基层委员会报告当地人民政府劳动行政机关，对该企业资方追究责任。</w:t>
      </w:r>
    </w:p>
    <w:p w14:paraId="5A1DB820"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第十一条　</w:t>
      </w:r>
      <w:r>
        <w:rPr>
          <w:rFonts w:ascii="仿宋_GB2312" w:eastAsia="仿宋_GB2312" w:hAnsi="Times New Roman" w:cs="Times New Roman" w:hint="eastAsia"/>
          <w:sz w:val="32"/>
          <w:szCs w:val="32"/>
        </w:rPr>
        <w:t>劳动保险金的保管，由中华全国总工会委托中国人民银行代理之。</w:t>
      </w:r>
    </w:p>
    <w:p w14:paraId="412D9A16" w14:textId="77777777" w:rsidR="00390FF9" w:rsidRDefault="00B72F38">
      <w:pPr>
        <w:pStyle w:val="2"/>
        <w:jc w:val="center"/>
        <w:rPr>
          <w:rFonts w:ascii="方正黑体_GBK" w:eastAsia="方正黑体_GBK"/>
        </w:rPr>
      </w:pPr>
      <w:r>
        <w:rPr>
          <w:rFonts w:ascii="方正黑体_GBK" w:eastAsia="方正黑体_GBK" w:hAnsi="Times New Roman" w:cs="Times New Roman" w:hint="eastAsia"/>
        </w:rPr>
        <w:t>第三章　各项劳动保险待遇的规定</w:t>
      </w:r>
    </w:p>
    <w:p w14:paraId="0D7D1E81"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第十二条　</w:t>
      </w:r>
      <w:r>
        <w:rPr>
          <w:rFonts w:ascii="仿宋_GB2312" w:eastAsia="仿宋_GB2312" w:hAnsi="Times New Roman" w:cs="Times New Roman" w:hint="eastAsia"/>
          <w:sz w:val="32"/>
          <w:szCs w:val="32"/>
        </w:rPr>
        <w:t>因工负伤、残废待遇的规定：</w:t>
      </w:r>
    </w:p>
    <w:p w14:paraId="1407EC8B"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lastRenderedPageBreak/>
        <w:t>甲、工人与职员因工负伤，应在该企业医疗所、医院或特约医院医治。如该企业医疗所、医院或特约医院无法治疗时，应由该企业行政方面或资方转送其他医院医治。其全部诊疗费、药费、住院费、住院时的膳费与就医路费，均由企业行政方面或资方负担。在医疗期间，工资照发。</w:t>
      </w:r>
    </w:p>
    <w:p w14:paraId="0F0A5462"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乙、工人与职员因工负伤确定为残废时，按下列情况，由劳动保险基金项下按月付给因工残废抚恤费或因工残废补助费：</w:t>
      </w:r>
    </w:p>
    <w:p w14:paraId="1A53FCCF"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一、完全丧失劳动力不能工作退职后，饮食起居需人扶助者，其因工残废抚恤费的数额为本人工资百分之七十五，付至死亡时止。</w:t>
      </w:r>
    </w:p>
    <w:p w14:paraId="2316566F"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二、完全丧失劳动力不能工作退职后，饮食起居不需人扶助者，其因工残废抚恤费的数额为本人工资百分之六十，付至恢复劳动力或死亡时止。劳动力恢复后应由企业行政方面或资方给予适当工作。</w:t>
      </w:r>
    </w:p>
    <w:p w14:paraId="2AFEB3DF"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三、部分丧失劳动力尚能工作者，应由企业行政方面或资方分配适当工作，并由劳动保险基金项下，按其残废后丧失劳动力的程度，付给因工残废补助费，其数额为残废前本人工资的百分之十至三十，但与残废后复工时的工资合计不得超过残废前本人工资。详细办法在实施细则中规定之。</w:t>
      </w:r>
    </w:p>
    <w:p w14:paraId="084739CC"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丙、工人与职员因工负伤而致残废者，其残废状况的确定与变更，由残废审查委员会审定。详细办法在实施细则中</w:t>
      </w:r>
      <w:r>
        <w:rPr>
          <w:rFonts w:ascii="仿宋_GB2312" w:eastAsia="仿宋_GB2312" w:hAnsi="Times New Roman" w:cs="Times New Roman" w:hint="eastAsia"/>
          <w:sz w:val="32"/>
          <w:szCs w:val="32"/>
        </w:rPr>
        <w:lastRenderedPageBreak/>
        <w:t>规定之。</w:t>
      </w:r>
    </w:p>
    <w:p w14:paraId="2F80FB09"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第十三条　</w:t>
      </w:r>
      <w:r>
        <w:rPr>
          <w:rFonts w:ascii="仿宋_GB2312" w:eastAsia="仿宋_GB2312" w:hAnsi="Times New Roman" w:cs="Times New Roman" w:hint="eastAsia"/>
          <w:sz w:val="32"/>
          <w:szCs w:val="32"/>
        </w:rPr>
        <w:t>疾病、非因工负伤、残废待遇的规定：</w:t>
      </w:r>
    </w:p>
    <w:p w14:paraId="022B5D64"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甲、工人与职员疾病或非因工负伤，在该企业医疗所、医院、特约医院或特约中西医师处医治时，其所需诊疗费、手术费、住院费及普通药费均由企业行政方面或资方负担；贵重药费、住院的膳费及就医路费由本人负担，如本人经济状况确有困难，得由劳动保险基金项下酌予补助。患病及非因工负伤的工人职员，应否住院或转院医治及出院时间，应完全由医院决定之。</w:t>
      </w:r>
    </w:p>
    <w:p w14:paraId="54AA85FE"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乙、工人与职员因病或非因工负伤停止工作医疗时，其停止工作医疗期间连续在六个月以内者，按其本企业工龄的长短，由该企业行政方面或资方发给病伤假期工资，其数额为本人工资百分之六十至百分之一百；停止工作连续医疗期间在六个月以上时，改由劳动保险基金项下按月付给疾病或非因工负伤救济费，其数额为本人工资百分之四十至百分之六十，至能工作或确定为残废或死亡时止。详细办法在实施细则中规定之。</w:t>
      </w:r>
    </w:p>
    <w:p w14:paraId="2CE331C0"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丙、工人与职员因病或非因工负伤医疗终结确定为残废，完全丧失劳动力退职后，病伤假期工资或疾病非因工负伤救济费停发，改由劳动保险基金项下发给非因工残废救济费，其数额按下列情况规定之：饮食起居需人扶助者为本人工资百分之五十，饮食起居不需人扶助者为本人工资百分之四十，</w:t>
      </w:r>
      <w:r>
        <w:rPr>
          <w:rFonts w:ascii="仿宋_GB2312" w:eastAsia="仿宋_GB2312" w:hAnsi="Times New Roman" w:cs="Times New Roman" w:hint="eastAsia"/>
          <w:sz w:val="32"/>
          <w:szCs w:val="32"/>
        </w:rPr>
        <w:lastRenderedPageBreak/>
        <w:t>至恢复劳动力或死亡时止；部分丧失劳动力尚能工作者不予发给。关于残废状况的确定与变更，适用第十二条丙款的规定。</w:t>
      </w:r>
    </w:p>
    <w:p w14:paraId="22F86061"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丁、工人与职员疾病或非因工负伤痊愈或非因工残废恢复劳动力后，经负责医疗机关提出证明，该企业行政方面或资方应给予适当工作。</w:t>
      </w:r>
    </w:p>
    <w:p w14:paraId="2D96239C"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戊、工人与职员供养的直系亲属患病时，得在该企业医疗所、医院、特约医院或特约中西医师处免费诊治，手术费及普通药费，由企业行政方面或资方负担二分之一，贵重药费、就医路费、住院费、住院时的膳费及其他一切费用，均由本人自理。</w:t>
      </w:r>
    </w:p>
    <w:p w14:paraId="73E0DE40"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第十四条　</w:t>
      </w:r>
      <w:r>
        <w:rPr>
          <w:rFonts w:ascii="仿宋_GB2312" w:eastAsia="仿宋_GB2312" w:hAnsi="Times New Roman" w:cs="Times New Roman" w:hint="eastAsia"/>
          <w:sz w:val="32"/>
          <w:szCs w:val="32"/>
        </w:rPr>
        <w:t>工人与职员及其供养的直系亲属死亡时待遇的规定：</w:t>
      </w:r>
    </w:p>
    <w:p w14:paraId="14BB4180"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甲、工人与职员因工死亡时，由该企业行政方面或资方发给丧葬费，其数额为该企业全部工人与职员平均工资三个月；另由劳动保险基金项下，按其供养的直系亲属人数，每月付给供养直系亲属抚恤费，其数额为死者本人工资百分之二十五至百分之五十，至受供养者失去受供养的条件时为止。详细办法在实施细则中规定之。</w:t>
      </w:r>
    </w:p>
    <w:p w14:paraId="6ECC95E7"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乙、工人与职员因病或非因工负伤死亡时，由劳动保险基金项下付给丧葬补助费，其数额为该企业全部工人与职员平均工资两个月。另由劳动保险基金项下，按其供养直系亲</w:t>
      </w:r>
      <w:r>
        <w:rPr>
          <w:rFonts w:ascii="仿宋_GB2312" w:eastAsia="仿宋_GB2312" w:hAnsi="Times New Roman" w:cs="Times New Roman" w:hint="eastAsia"/>
          <w:sz w:val="32"/>
          <w:szCs w:val="32"/>
        </w:rPr>
        <w:lastRenderedPageBreak/>
        <w:t>属人数，付给供养直系亲属救济费，其数额为死者本人工资六个月到十二个月。详细办法在实施细则中规定之。</w:t>
      </w:r>
    </w:p>
    <w:p w14:paraId="399FA6EB"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丙、工人与职员因工负伤致成残废完全丧失劳动力退职后死亡时，应按本条甲款的规定，付给丧葬费及供养直系亲属抚恤费。退职养老后死亡时或非因工残废完全丧失劳动力退职后死亡时，应按本条乙款的规定，付给丧葬补助费及供养直系亲属救济费。</w:t>
      </w:r>
    </w:p>
    <w:p w14:paraId="3CD363B5"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丁、工人与职员供养的直系亲属死亡时，由劳动保险基金项下付给供养直系亲属丧葬补助费：死者年龄在十周岁以上者，其数额为该企业全部工人与职员平均工资一个月的二分之一；一周岁至十周岁者，为平均工资一个月的三分之一。不满一周岁者不给。</w:t>
      </w:r>
    </w:p>
    <w:p w14:paraId="14A4E488"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第十五条　</w:t>
      </w:r>
      <w:r>
        <w:rPr>
          <w:rFonts w:ascii="仿宋_GB2312" w:eastAsia="仿宋_GB2312" w:hAnsi="Times New Roman" w:cs="Times New Roman" w:hint="eastAsia"/>
          <w:sz w:val="32"/>
          <w:szCs w:val="32"/>
        </w:rPr>
        <w:t>养老待遇的规定：</w:t>
      </w:r>
    </w:p>
    <w:p w14:paraId="14DFFDB7"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甲、男工人与男职员年满六十岁，一般工龄满二十五年，本企业工龄满五年者，可退职养老。退职后，由劳动保险基金项下，按其本企业工龄的长短，按月付给退职养老补助费，其数额为本人工资的百分之五十至七十，付至死亡时止。合于养老条件，但因该企业工作的需要，留其继续工作者，除发给原有工资外，应由劳动保险基金项下，按其本企业工龄的长短，每月付给在职养老补助费，其数额为本人工资百分之十至二十。详细办法在实施细则中规定之。</w:t>
      </w:r>
    </w:p>
    <w:p w14:paraId="701513D1"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乙、女工人与女职员年满五十岁，一般工龄满二十年，</w:t>
      </w:r>
      <w:r>
        <w:rPr>
          <w:rFonts w:ascii="仿宋_GB2312" w:eastAsia="仿宋_GB2312" w:hAnsi="Times New Roman" w:cs="Times New Roman" w:hint="eastAsia"/>
          <w:sz w:val="32"/>
          <w:szCs w:val="32"/>
        </w:rPr>
        <w:lastRenderedPageBreak/>
        <w:t>本企业工龄满五年者，得享受本条甲款规定的养老补助费待遇。</w:t>
      </w:r>
    </w:p>
    <w:p w14:paraId="73A63DEC"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丙、井下矿工或固定在华氏三十二度以下的低温工作场所或华氏一百度以上的高温工作场所工作者，男工人与男职员年满五十五岁，女工人与女职员年满四十五岁，均得享受本条甲款规定的养老补助费待遇。计算其一般工龄及本企业工龄时，每在此种场所工作一年，均作一年零三个月计算。</w:t>
      </w:r>
    </w:p>
    <w:p w14:paraId="4BA27075"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丁、在提炼或制造铅、汞、砒、磷、酸的工业中及其他化学、兵工工业中，直接从事有害身体健康工作者，男工人与男职员年满五十五岁，女工人与女职员年满四十五岁，均得享受本条甲款规定的养老补助费待遇。计算其一般工龄及本企业工龄时，每从事此种工作一年，均作一年零六个月计算。</w:t>
      </w:r>
    </w:p>
    <w:p w14:paraId="31C11DBC"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第十六条　</w:t>
      </w:r>
      <w:r>
        <w:rPr>
          <w:rFonts w:ascii="仿宋_GB2312" w:eastAsia="仿宋_GB2312" w:hAnsi="Times New Roman" w:cs="Times New Roman" w:hint="eastAsia"/>
          <w:sz w:val="32"/>
          <w:szCs w:val="32"/>
        </w:rPr>
        <w:t>生育待遇的规定：</w:t>
      </w:r>
    </w:p>
    <w:p w14:paraId="589E77FB"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甲、女工人与女职员生育，产前产后共给假五十六日，产假期间，工资照发。</w:t>
      </w:r>
    </w:p>
    <w:p w14:paraId="526DCB59"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乙、女工人与女职员怀孕不满七个月小产时，得根据医师的意见给予三十日以内的产假，产假期间，工资照发。</w:t>
      </w:r>
    </w:p>
    <w:p w14:paraId="591EF623"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丙、女工人与女职员难产或双生时，增给假期十四日，工资照发。</w:t>
      </w:r>
    </w:p>
    <w:p w14:paraId="13D590A2"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丁、女工人与女职员怀孕，在该企业医疗所、医院或特约医院检查或分娩时，其检查费与接生费由企业行政方面或</w:t>
      </w:r>
      <w:r>
        <w:rPr>
          <w:rFonts w:ascii="仿宋_GB2312" w:eastAsia="仿宋_GB2312" w:hAnsi="Times New Roman" w:cs="Times New Roman" w:hint="eastAsia"/>
          <w:sz w:val="32"/>
          <w:szCs w:val="32"/>
        </w:rPr>
        <w:lastRenderedPageBreak/>
        <w:t>资方负担，其他费用均按第十三条甲款的规定处理。</w:t>
      </w:r>
    </w:p>
    <w:p w14:paraId="031A4A42"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戊、产假期满(不论正产或小产)仍不能工作者，经医院证明后，按第十三条关于疾病待遇的规定处理之。</w:t>
      </w:r>
    </w:p>
    <w:p w14:paraId="229F6A52"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己、女工人与女职员或男工人与男职员之妻生育时，由劳动保险基金项下发给生育补助费四万元。</w:t>
      </w:r>
    </w:p>
    <w:p w14:paraId="58BE82F0"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第十七条　</w:t>
      </w:r>
      <w:r>
        <w:rPr>
          <w:rFonts w:ascii="仿宋_GB2312" w:eastAsia="仿宋_GB2312" w:hAnsi="Times New Roman" w:cs="Times New Roman" w:hint="eastAsia"/>
          <w:sz w:val="32"/>
          <w:szCs w:val="32"/>
        </w:rPr>
        <w:t>集体劳动保险事业的规定：</w:t>
      </w:r>
    </w:p>
    <w:p w14:paraId="1FB2160B"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甲、凡在实行劳动保险的企业内工作的工人与职员，均有享受集体劳动保险事业的权利。详细办法由中华全国总工会制定之。</w:t>
      </w:r>
    </w:p>
    <w:p w14:paraId="0E046A35"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乙、各企业工会基层委员会得根据各该企业的经济情况及工人与职员的需要，与企业行政方面或资方共同办理疗养所、业余疗养所、托儿所等集体劳动保险事业。详细办法在实施细则中规定之。</w:t>
      </w:r>
    </w:p>
    <w:p w14:paraId="5A6B2E4C"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丙、中华全国总工会可举办或委托各地方或各产业工会组织举办下列各项集体劳动保险事业：</w:t>
      </w:r>
    </w:p>
    <w:p w14:paraId="5CDBF88B"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一、疗养所；</w:t>
      </w:r>
    </w:p>
    <w:p w14:paraId="7DDACBA7"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二、休养所；</w:t>
      </w:r>
    </w:p>
    <w:p w14:paraId="4DC3B9BB"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三、养老院；</w:t>
      </w:r>
    </w:p>
    <w:p w14:paraId="68B922B5"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四、孤儿保育院；</w:t>
      </w:r>
    </w:p>
    <w:p w14:paraId="2175698D"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五、残废院；</w:t>
      </w:r>
    </w:p>
    <w:p w14:paraId="305EFA00"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六、其他。</w:t>
      </w:r>
    </w:p>
    <w:p w14:paraId="46A9992F"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第十八条　</w:t>
      </w:r>
      <w:r>
        <w:rPr>
          <w:rFonts w:ascii="仿宋_GB2312" w:eastAsia="仿宋_GB2312" w:hAnsi="Times New Roman" w:cs="Times New Roman" w:hint="eastAsia"/>
          <w:sz w:val="32"/>
          <w:szCs w:val="32"/>
        </w:rPr>
        <w:t>凡在实行劳动保险的企业内工作的工人与</w:t>
      </w:r>
      <w:r>
        <w:rPr>
          <w:rFonts w:ascii="仿宋_GB2312" w:eastAsia="仿宋_GB2312" w:hAnsi="Times New Roman" w:cs="Times New Roman" w:hint="eastAsia"/>
          <w:sz w:val="32"/>
          <w:szCs w:val="32"/>
        </w:rPr>
        <w:lastRenderedPageBreak/>
        <w:t>职员，未加入工会者，除因工负伤、残废、死亡待遇，生育待遇，因病或非因工负伤治疗待遇，供养直系亲属疾病治疗待遇，均得按本条例的规定享受外，其他各项，如疾病或非因工负伤医疗期间的工资与救济费，非因工残废救济费，供养直系亲属救济费，养老补助费，丧葬补助费，只能领取规定额的半数。</w:t>
      </w:r>
    </w:p>
    <w:p w14:paraId="736668FA" w14:textId="77777777" w:rsidR="00390FF9" w:rsidRDefault="00B72F38">
      <w:pPr>
        <w:pStyle w:val="2"/>
        <w:jc w:val="center"/>
        <w:rPr>
          <w:rFonts w:ascii="方正黑体_GBK" w:eastAsia="方正黑体_GBK"/>
        </w:rPr>
      </w:pPr>
      <w:r>
        <w:rPr>
          <w:rFonts w:ascii="方正黑体_GBK" w:eastAsia="方正黑体_GBK" w:hAnsi="Times New Roman" w:cs="Times New Roman" w:hint="eastAsia"/>
        </w:rPr>
        <w:t>第四章　享受优异劳动保险待遇的规定</w:t>
      </w:r>
    </w:p>
    <w:p w14:paraId="3AD634E8"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第十九条　</w:t>
      </w:r>
      <w:r>
        <w:rPr>
          <w:rFonts w:ascii="仿宋_GB2312" w:eastAsia="仿宋_GB2312" w:hAnsi="Times New Roman" w:cs="Times New Roman" w:hint="eastAsia"/>
          <w:sz w:val="32"/>
          <w:szCs w:val="32"/>
        </w:rPr>
        <w:t>凡对本企业有特殊贡献的劳动模范及转入本企业工作的战斗英雄，经工会基层委员会提出，并经各省、市工会组织或产业工会全国委员会的批准，得享受下列较优异的劳动保险待遇：</w:t>
      </w:r>
    </w:p>
    <w:p w14:paraId="46B88C4F"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甲、疾病或非因工负伤的贵重药费、就医路费、住院膳费，概由企业行政方面或资方负担。</w:t>
      </w:r>
    </w:p>
    <w:p w14:paraId="30EB9F59"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乙、疾病或非因工负伤医疗期间前六个月工资照发。疾病或非因工负伤救济费及非因工残废救济费，一律付给本人工资百分之六十。因工残废抚恤费为本人工资百分之一百。因工残废补助费为残废前本人工资与残废后复工时本人工资的差额。因工死亡供养直系亲属抚恤费为本人工资百分之三十至百分之六十。退职养老补助费为本人工资百分之六十至百分之八十。在职养老补助费为本人工资百分之二十至百分之三十。详细办法在实施细则中规定之。</w:t>
      </w:r>
    </w:p>
    <w:p w14:paraId="5A4CDB58"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lastRenderedPageBreak/>
        <w:t>丙、有享受集体劳动保险事业的优先权。</w:t>
      </w:r>
    </w:p>
    <w:p w14:paraId="518799C8"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第二十条　</w:t>
      </w:r>
      <w:r>
        <w:rPr>
          <w:rFonts w:ascii="仿宋_GB2312" w:eastAsia="仿宋_GB2312" w:hAnsi="Times New Roman" w:cs="Times New Roman" w:hint="eastAsia"/>
          <w:sz w:val="32"/>
          <w:szCs w:val="32"/>
        </w:rPr>
        <w:t>残废军人转入本企业工作者，疾病或非因工负伤停止工作医疗期间，不计本企业工龄长短，前六个月工资照发；六个月以后，仍按第十三条乙款规定办理。</w:t>
      </w:r>
    </w:p>
    <w:p w14:paraId="5A236D30" w14:textId="77777777" w:rsidR="00390FF9" w:rsidRDefault="00B72F38">
      <w:pPr>
        <w:pStyle w:val="2"/>
        <w:jc w:val="center"/>
        <w:rPr>
          <w:rFonts w:ascii="方正黑体_GBK" w:eastAsia="方正黑体_GBK"/>
        </w:rPr>
      </w:pPr>
      <w:r>
        <w:rPr>
          <w:rFonts w:ascii="方正黑体_GBK" w:eastAsia="方正黑体_GBK" w:hAnsi="Times New Roman" w:cs="Times New Roman" w:hint="eastAsia"/>
        </w:rPr>
        <w:t>第五章　劳动保险金的支配</w:t>
      </w:r>
    </w:p>
    <w:p w14:paraId="1C20BAFB"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第二十一条　</w:t>
      </w:r>
      <w:r>
        <w:rPr>
          <w:rFonts w:ascii="仿宋_GB2312" w:eastAsia="仿宋_GB2312" w:hAnsi="Times New Roman" w:cs="Times New Roman" w:hint="eastAsia"/>
          <w:sz w:val="32"/>
          <w:szCs w:val="32"/>
        </w:rPr>
        <w:t>劳动保险金的支配办法如下：</w:t>
      </w:r>
    </w:p>
    <w:p w14:paraId="2EB20248"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甲、劳动保险总基金由中华全国总工会用以举办集体劳动保险事业。</w:t>
      </w:r>
    </w:p>
    <w:p w14:paraId="7E0E487D"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乙、劳动保险基金由工会基层委员会用以支付各项抚恤费、补助费与救济费及本企业集体劳动保险事业的补助费。每月结算一次，其余额全部转入省、市工会组织或产业工会全国委员会户内，作为劳动保险调剂金(以下简称调剂金)。</w:t>
      </w:r>
    </w:p>
    <w:p w14:paraId="04FFD66E"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丙、调剂金由省、市工会组织或产业工会全国委员会用于对所属各工会基层委员会劳动保险基金不足开支时的补助或举办集体劳动保险事业之用。各产业工会全国委员会得授权其地方机构，掌管调剂金的调用。中华全国总工会对所属各省、市工会组织、各产业工会全国委员会的调剂金，有统筹调用之权，并得用以举办集体劳动保险事业。如省、市工会组织或产业工会全国委员会调剂金不足开支，得申请中华全国总工会调拨调剂金补助之。</w:t>
      </w:r>
    </w:p>
    <w:p w14:paraId="65D1E68B"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第二十二条　</w:t>
      </w:r>
      <w:r>
        <w:rPr>
          <w:rFonts w:ascii="仿宋_GB2312" w:eastAsia="仿宋_GB2312" w:hAnsi="Times New Roman" w:cs="Times New Roman" w:hint="eastAsia"/>
          <w:sz w:val="32"/>
          <w:szCs w:val="32"/>
        </w:rPr>
        <w:t>劳动保险金，除用于劳动保险事业外，不</w:t>
      </w:r>
      <w:r>
        <w:rPr>
          <w:rFonts w:ascii="仿宋_GB2312" w:eastAsia="仿宋_GB2312" w:hAnsi="Times New Roman" w:cs="Times New Roman" w:hint="eastAsia"/>
          <w:sz w:val="32"/>
          <w:szCs w:val="32"/>
        </w:rPr>
        <w:lastRenderedPageBreak/>
        <w:t>得移作其他用途。</w:t>
      </w:r>
    </w:p>
    <w:p w14:paraId="40863F42"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第二十三条　</w:t>
      </w:r>
      <w:r>
        <w:rPr>
          <w:rFonts w:ascii="仿宋_GB2312" w:eastAsia="仿宋_GB2312" w:hAnsi="Times New Roman" w:cs="Times New Roman" w:hint="eastAsia"/>
          <w:sz w:val="32"/>
          <w:szCs w:val="32"/>
        </w:rPr>
        <w:t>各企业的会计部门，均须设立劳动保险基金的独立会计，负责办理劳动保险基金的收支事宜。劳动保险基金会计制度，由中央人民政府劳动部会同中华全国总工会制定之。</w:t>
      </w:r>
    </w:p>
    <w:p w14:paraId="79359BDE"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第二十四条　</w:t>
      </w:r>
      <w:r>
        <w:rPr>
          <w:rFonts w:ascii="仿宋_GB2312" w:eastAsia="仿宋_GB2312" w:hAnsi="Times New Roman" w:cs="Times New Roman" w:hint="eastAsia"/>
          <w:sz w:val="32"/>
          <w:szCs w:val="32"/>
        </w:rPr>
        <w:t>劳动保险调剂金的收支事宜，由各级工会组织的财务部门根据中华全国总工会的规定办理之。</w:t>
      </w:r>
    </w:p>
    <w:p w14:paraId="18A98C23" w14:textId="77777777" w:rsidR="00390FF9" w:rsidRDefault="00B72F38">
      <w:pPr>
        <w:pStyle w:val="2"/>
        <w:jc w:val="center"/>
        <w:rPr>
          <w:rFonts w:ascii="方正黑体_GBK" w:eastAsia="方正黑体_GBK"/>
        </w:rPr>
      </w:pPr>
      <w:r>
        <w:rPr>
          <w:rFonts w:ascii="方正黑体_GBK" w:eastAsia="方正黑体_GBK" w:hAnsi="Times New Roman" w:cs="Times New Roman" w:hint="eastAsia"/>
        </w:rPr>
        <w:t>第六章　劳动保险事业的执行与监督</w:t>
      </w:r>
    </w:p>
    <w:p w14:paraId="3B71D130" w14:textId="1681A08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第二十五条　</w:t>
      </w:r>
      <w:r>
        <w:rPr>
          <w:rFonts w:ascii="仿宋_GB2312" w:eastAsia="仿宋_GB2312" w:hAnsi="Times New Roman" w:cs="Times New Roman" w:hint="eastAsia"/>
          <w:sz w:val="32"/>
          <w:szCs w:val="32"/>
        </w:rPr>
        <w:t>各工会基层委员会，为执行劳动保险业务的基层单位，其主要工作为：督促劳动保险金的缴纳；决定劳动保险基金的支付；监督本条例所规定由企业行政方面或资方直接支付的各项费用的开支；推动该企业改进集体劳动保险事业及医疗卫生工作；执行一切有关劳动保险的实际业务；每月编造劳动保险基金月报表，每年编造预算、决算、业务计划书及业务报告书，报告省、市工会组织和产业工会全国委员会及当地人民政府劳动行政机关；并向工会全体会员大会或代表大会报告工作。</w:t>
      </w:r>
    </w:p>
    <w:p w14:paraId="1872FA4D"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第二十六条　</w:t>
      </w:r>
      <w:r>
        <w:rPr>
          <w:rFonts w:ascii="仿宋_GB2312" w:eastAsia="仿宋_GB2312" w:hAnsi="Times New Roman" w:cs="Times New Roman" w:hint="eastAsia"/>
          <w:sz w:val="32"/>
          <w:szCs w:val="32"/>
        </w:rPr>
        <w:t>各工会基层委员会的经费审查委员会，应按月审核劳动保险基金收支帐目及本条例所规定的由企业行政方面或资方直接支付的各项费用，并公布之。</w:t>
      </w:r>
    </w:p>
    <w:p w14:paraId="0DF929FA"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第二十七条　</w:t>
      </w:r>
      <w:r>
        <w:rPr>
          <w:rFonts w:ascii="仿宋_GB2312" w:eastAsia="仿宋_GB2312" w:hAnsi="Times New Roman" w:cs="Times New Roman" w:hint="eastAsia"/>
          <w:sz w:val="32"/>
          <w:szCs w:val="32"/>
        </w:rPr>
        <w:t>各省、市工会组织，各产业工会全国委员</w:t>
      </w:r>
      <w:r>
        <w:rPr>
          <w:rFonts w:ascii="仿宋_GB2312" w:eastAsia="仿宋_GB2312" w:hAnsi="Times New Roman" w:cs="Times New Roman" w:hint="eastAsia"/>
          <w:sz w:val="32"/>
          <w:szCs w:val="32"/>
        </w:rPr>
        <w:lastRenderedPageBreak/>
        <w:t>会或地区委员会对所属各工会基层委员会的劳动保险业务，负指导督促之责，审核劳动保险基金的收支月报表、预算、决算及劳动保险基金的收支有无错误，接受工人与职员有关劳动保险事件的申诉，每月编造劳动保险基金及调剂金的收支月报表，每年编造预算、决算、业务计划书及业务报告书，并依下列程序报告：</w:t>
      </w:r>
    </w:p>
    <w:p w14:paraId="2ACC12AB"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甲、各省、市工会组织向当地人民政府劳动行政机关及大行政区工会组织报告；</w:t>
      </w:r>
    </w:p>
    <w:p w14:paraId="71F50275" w14:textId="77777777" w:rsidR="00390FF9" w:rsidRDefault="00B72F38">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乙、各产业工会全国委员会向中华全国总工会及中央人民政府劳动部报告。</w:t>
      </w:r>
    </w:p>
    <w:p w14:paraId="5F6C48A0"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第二十八条　</w:t>
      </w:r>
      <w:r>
        <w:rPr>
          <w:rFonts w:ascii="仿宋_GB2312" w:eastAsia="仿宋_GB2312" w:hAnsi="Times New Roman" w:cs="Times New Roman" w:hint="eastAsia"/>
          <w:sz w:val="32"/>
          <w:szCs w:val="32"/>
        </w:rPr>
        <w:t>各大行政区工会组织对所属各省、市工会组织及其区域内产业工会组织的劳动保险工作，负指导督促之责，审核省、市工会组织劳动保险基金及调剂金的收支月报表、预算、决算、业务计划书及业务报告书，并每三个月编造劳动保险基金收支报告，每年编造预算、决算、业务计划书及业务报告书，报告所在地大行政区人民政府劳动部、中央人民政府劳动部及中华全国总工会。</w:t>
      </w:r>
    </w:p>
    <w:p w14:paraId="582B015C"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第二十九条　</w:t>
      </w:r>
      <w:r>
        <w:rPr>
          <w:rFonts w:ascii="仿宋_GB2312" w:eastAsia="仿宋_GB2312" w:hAnsi="Times New Roman" w:cs="Times New Roman" w:hint="eastAsia"/>
          <w:sz w:val="32"/>
          <w:szCs w:val="32"/>
        </w:rPr>
        <w:t>中华全国总工会为全国劳动保险事业的最高领导机关，统筹全国劳动保险事业的进行，督导所属各地方工会组织、各产业工会组织有关劳动保险事业的执行；审核并汇编劳动保险基金及总基金的收支报告表，每年编造劳动保险金的预算、决算、业务计划书及业务报告书，并送</w:t>
      </w:r>
      <w:r>
        <w:rPr>
          <w:rFonts w:ascii="仿宋_GB2312" w:eastAsia="仿宋_GB2312" w:hAnsi="Times New Roman" w:cs="Times New Roman" w:hint="eastAsia"/>
          <w:sz w:val="32"/>
          <w:szCs w:val="32"/>
        </w:rPr>
        <w:lastRenderedPageBreak/>
        <w:t>中央人民政府劳动部、财政部备查。</w:t>
      </w:r>
    </w:p>
    <w:p w14:paraId="04DFFB18"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第三十条　</w:t>
      </w:r>
      <w:r>
        <w:rPr>
          <w:rFonts w:ascii="仿宋_GB2312" w:eastAsia="仿宋_GB2312" w:hAnsi="Times New Roman" w:cs="Times New Roman" w:hint="eastAsia"/>
          <w:sz w:val="32"/>
          <w:szCs w:val="32"/>
        </w:rPr>
        <w:t>各级人民政府劳动行政机关应监督劳动保险金的缴纳，检查劳动保险业务的执行，并处理有关劳动保险事件的申诉。</w:t>
      </w:r>
    </w:p>
    <w:p w14:paraId="1FB084F0" w14:textId="77777777" w:rsidR="00390FF9" w:rsidRDefault="00B72F38">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第三十一条　</w:t>
      </w:r>
      <w:r>
        <w:rPr>
          <w:rFonts w:ascii="仿宋_GB2312" w:eastAsia="仿宋_GB2312" w:hAnsi="Times New Roman" w:cs="Times New Roman" w:hint="eastAsia"/>
          <w:sz w:val="32"/>
          <w:szCs w:val="32"/>
        </w:rPr>
        <w:t>中央人民政府劳动部为全国劳动保险业务的最高监督机关，负责贯彻劳动保险条例的实施，检查全国劳动保险业务的执行，其检查制度另订之。</w:t>
      </w:r>
    </w:p>
    <w:p w14:paraId="51E8AE06" w14:textId="77777777" w:rsidR="00390FF9" w:rsidRDefault="00B72F38">
      <w:pPr>
        <w:pStyle w:val="2"/>
        <w:jc w:val="center"/>
        <w:rPr>
          <w:rFonts w:ascii="方正黑体_GBK" w:eastAsia="方正黑体_GBK"/>
        </w:rPr>
      </w:pPr>
      <w:r>
        <w:rPr>
          <w:rFonts w:ascii="方正黑体_GBK" w:eastAsia="方正黑体_GBK" w:hAnsi="Times New Roman" w:cs="Times New Roman" w:hint="eastAsia"/>
        </w:rPr>
        <w:t>第七章　附则</w:t>
      </w:r>
    </w:p>
    <w:p w14:paraId="6668F6EA" w14:textId="2747184A" w:rsidR="00390FF9" w:rsidRDefault="00B72F38">
      <w:pPr>
        <w:ind w:firstLineChars="200" w:firstLine="640"/>
      </w:pPr>
      <w:r>
        <w:rPr>
          <w:rFonts w:ascii="Times New Roman" w:eastAsia="黑体" w:hAnsi="Times New Roman" w:cs="Times New Roman"/>
          <w:sz w:val="32"/>
          <w:szCs w:val="32"/>
        </w:rPr>
        <w:t xml:space="preserve">第三十二条　</w:t>
      </w:r>
      <w:r>
        <w:rPr>
          <w:rFonts w:ascii="Times New Roman" w:eastAsia="仿宋_GB2312" w:hAnsi="Times New Roman" w:cs="Times New Roman"/>
          <w:sz w:val="32"/>
          <w:szCs w:val="32"/>
        </w:rPr>
        <w:t>本条例由中央人民政府政务院通过后</w:t>
      </w:r>
      <w:r w:rsidR="0043402B">
        <w:rPr>
          <w:rFonts w:ascii="Times New Roman" w:eastAsia="仿宋_GB2312" w:hAnsi="Times New Roman" w:cs="Times New Roman" w:hint="eastAsia"/>
          <w:sz w:val="32"/>
          <w:szCs w:val="32"/>
        </w:rPr>
        <w:t>公</w:t>
      </w:r>
      <w:r>
        <w:rPr>
          <w:rFonts w:ascii="Times New Roman" w:eastAsia="仿宋_GB2312" w:hAnsi="Times New Roman" w:cs="Times New Roman"/>
          <w:sz w:val="32"/>
          <w:szCs w:val="32"/>
        </w:rPr>
        <w:t>布施行，修改时同。</w:t>
      </w:r>
    </w:p>
    <w:sectPr w:rsidR="00390FF9">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221F2" w14:textId="77777777" w:rsidR="00FB6E69" w:rsidRDefault="00FB6E69">
      <w:r>
        <w:separator/>
      </w:r>
    </w:p>
  </w:endnote>
  <w:endnote w:type="continuationSeparator" w:id="0">
    <w:p w14:paraId="3C05A0C9" w14:textId="77777777" w:rsidR="00FB6E69" w:rsidRDefault="00FB6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方正楷体_GBK">
    <w:altName w:val="微软雅黑"/>
    <w:charset w:val="86"/>
    <w:family w:val="script"/>
    <w:pitch w:val="default"/>
    <w:sig w:usb0="00000000" w:usb1="0000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方正黑体_GBK">
    <w:altName w:val="Arial Unicode MS"/>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070A4" w14:textId="77777777" w:rsidR="00390FF9" w:rsidRDefault="00FB6E69">
    <w:pPr>
      <w:pStyle w:val="a4"/>
    </w:pPr>
    <w:r>
      <w:pict w14:anchorId="36016BDD">
        <v:shapetype id="_x0000_t202" coordsize="21600,21600" o:spt="202" path="m,l,21600r21600,l21600,xe">
          <v:stroke joinstyle="miter"/>
          <v:path gradientshapeok="t" o:connecttype="rect"/>
        </v:shapetype>
        <v:shape id="_x0000_s2050" type="#_x0000_t202" style="position:absolute;margin-left:185.6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14:paraId="6F93D7A5" w14:textId="77777777" w:rsidR="00390FF9" w:rsidRDefault="00B72F38">
                <w:pPr>
                  <w:pStyle w:val="a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- 3 -</w:t>
                </w:r>
                <w:r>
                  <w:rPr>
                    <w:rFonts w:hint="eastAsia"/>
                    <w:sz w:val="24"/>
                    <w:szCs w:val="24"/>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1D14B" w14:textId="77777777" w:rsidR="00FB6E69" w:rsidRDefault="00FB6E69">
      <w:r>
        <w:separator/>
      </w:r>
    </w:p>
  </w:footnote>
  <w:footnote w:type="continuationSeparator" w:id="0">
    <w:p w14:paraId="4B8ECDAC" w14:textId="77777777" w:rsidR="00FB6E69" w:rsidRDefault="00FB6E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1237291C"/>
    <w:rsid w:val="0004696D"/>
    <w:rsid w:val="0014239E"/>
    <w:rsid w:val="002F42AB"/>
    <w:rsid w:val="003465E7"/>
    <w:rsid w:val="00390FF9"/>
    <w:rsid w:val="0043402B"/>
    <w:rsid w:val="00464BD9"/>
    <w:rsid w:val="0099234D"/>
    <w:rsid w:val="00AC7513"/>
    <w:rsid w:val="00B325F4"/>
    <w:rsid w:val="00B72F38"/>
    <w:rsid w:val="00EE4303"/>
    <w:rsid w:val="00FB6E69"/>
    <w:rsid w:val="015C15A3"/>
    <w:rsid w:val="101153C1"/>
    <w:rsid w:val="1237291C"/>
    <w:rsid w:val="196B6531"/>
    <w:rsid w:val="1C504CBC"/>
    <w:rsid w:val="1CEE016D"/>
    <w:rsid w:val="1F54382F"/>
    <w:rsid w:val="2C952BFA"/>
    <w:rsid w:val="31DB69C8"/>
    <w:rsid w:val="3E316E80"/>
    <w:rsid w:val="59C16F41"/>
    <w:rsid w:val="79D10685"/>
    <w:rsid w:val="7F020A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44411D4C"/>
  <w15:docId w15:val="{CCF3BE86-35F0-43A4-A672-97922458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uiPriority="99" w:unhideWhenUsed="1" w:qFormat="1"/>
    <w:lsdException w:name="header" w:qFormat="1"/>
    <w:lsdException w:name="footer" w:qFormat="1"/>
    <w:lsdException w:name="caption" w:semiHidden="1" w:unhideWhenUsed="1" w:qFormat="1"/>
    <w:lsdException w:name="footnote reference" w:semiHidden="1" w:uiPriority="99"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2">
    <w:name w:val="heading 2"/>
    <w:basedOn w:val="a"/>
    <w:next w:val="a"/>
    <w:uiPriority w:val="9"/>
    <w:semiHidden/>
    <w:unhideWhenUsed/>
    <w:qFormat/>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Pr>
      <w:rFonts w:ascii="宋体" w:eastAsia="宋体" w:hAnsi="Courier New" w:cs="Courier New"/>
      <w:szCs w:val="21"/>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note text"/>
    <w:basedOn w:val="a"/>
    <w:uiPriority w:val="99"/>
    <w:semiHidden/>
    <w:unhideWhenUsed/>
    <w:qFormat/>
    <w:pPr>
      <w:snapToGrid w:val="0"/>
      <w:jc w:val="left"/>
    </w:pPr>
    <w:rPr>
      <w:sz w:val="18"/>
      <w:szCs w:val="18"/>
    </w:rPr>
  </w:style>
  <w:style w:type="character" w:styleId="a7">
    <w:name w:val="footnote reference"/>
    <w:basedOn w:val="a0"/>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940</Words>
  <Characters>5358</Characters>
  <Application>Microsoft Office Word</Application>
  <DocSecurity>0</DocSecurity>
  <Lines>44</Lines>
  <Paragraphs>12</Paragraphs>
  <ScaleCrop>false</ScaleCrop>
  <Company>Microsoft</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 僚</cp:lastModifiedBy>
  <cp:revision>9</cp:revision>
  <cp:lastPrinted>2019-05-25T10:17:00Z</cp:lastPrinted>
  <dcterms:created xsi:type="dcterms:W3CDTF">2019-05-23T02:02:00Z</dcterms:created>
  <dcterms:modified xsi:type="dcterms:W3CDTF">2020-12-18T08:24:00Z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