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D6" w:rsidRDefault="00334ED6">
      <w:pPr>
        <w:pStyle w:val="a3"/>
        <w:ind w:firstLineChars="200" w:firstLine="880"/>
        <w:jc w:val="center"/>
        <w:rPr>
          <w:rFonts w:ascii="Times New Roman" w:hAnsi="Times New Roman" w:cs="Times New Roman"/>
          <w:sz w:val="44"/>
          <w:szCs w:val="44"/>
        </w:rPr>
      </w:pPr>
    </w:p>
    <w:p w:rsidR="00334ED6" w:rsidRDefault="00207250">
      <w:pPr>
        <w:pStyle w:val="a3"/>
        <w:ind w:firstLineChars="200" w:firstLine="8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</w:t>
      </w:r>
    </w:p>
    <w:p w:rsidR="00334ED6" w:rsidRDefault="00207250">
      <w:pPr>
        <w:pStyle w:val="a3"/>
        <w:ind w:firstLineChars="200" w:firstLine="8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城市维护建设税暂行条例</w:t>
      </w:r>
    </w:p>
    <w:p w:rsidR="00334ED6" w:rsidRDefault="00334ED6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:rsidR="00334ED6" w:rsidRDefault="00207250">
      <w:pPr>
        <w:pStyle w:val="a3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(1985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2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日国务院发布　根据</w:t>
      </w:r>
      <w:r>
        <w:rPr>
          <w:rFonts w:ascii="楷体_GB2312" w:eastAsia="楷体_GB2312" w:hAnsi="楷体_GB2312" w:cs="楷体_GB2312" w:hint="eastAsia"/>
          <w:sz w:val="32"/>
          <w:szCs w:val="32"/>
        </w:rPr>
        <w:t>2011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日《国务院关于废止和修改部分行政法规的决定》修订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  <w:bookmarkEnd w:id="0"/>
    </w:p>
    <w:p w:rsidR="00334ED6" w:rsidRDefault="00334ED6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为了加强城市的维护建设，扩大和稳定城市维护建设资金的来源，特制定本条例。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凡缴纳消费税、增值税、营业税的单位和个人，都是城市维护建设税的纳税义务人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以下简称纳税人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，都应当依照本条例的规定缴纳城市维护建设税。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城市维护建设税，以纳税人实际缴纳的消费税、增值税、营业税税额为计税依据，分别与消费税、增值税、营业税同时缴纳。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城市维护建设税税率如下：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纳税人所在地在市区的，税率为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7%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；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纳税人所在地在县城、镇的，税率为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5%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；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纳税人所在地不在市区、县城或镇的，税率为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1%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城市维护建设税的征收、管理、纳税环节、奖罚等事项，比照消费税、增值税、营业税的有关规定办理。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城市维护建设税应当保证用于城市的公用事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业和公共设施的维护建设，具体安排由地方人民政府确定。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按照本条例第四条第三项规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定缴纳的税款，应当专用于乡镇的维护和建设。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开征城市维护建设税后，任何地区和部门，都不得再向纳税人摊派资金或物资。遇到摊派情况，纳税人有权拒绝执行。</w:t>
      </w:r>
    </w:p>
    <w:p w:rsidR="00334ED6" w:rsidRPr="00841F49" w:rsidRDefault="00207250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省、自治区、直辖市人民政府可以根据本条例，制定实施细则，并送财政部备案。</w:t>
      </w:r>
    </w:p>
    <w:p w:rsidR="00334ED6" w:rsidRDefault="00207250">
      <w:pPr>
        <w:ind w:firstLineChars="200" w:firstLine="640"/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本条例自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1985</w:t>
      </w:r>
      <w:r w:rsidRPr="00841F49">
        <w:rPr>
          <w:rFonts w:ascii="仿宋_GB2312" w:eastAsia="仿宋_GB2312" w:hAnsi="Times New Roman" w:cs="Times New Roman" w:hint="eastAsia"/>
          <w:sz w:val="32"/>
          <w:szCs w:val="32"/>
        </w:rPr>
        <w:t>年度起施行。</w:t>
      </w:r>
    </w:p>
    <w:sectPr w:rsidR="00334ED6" w:rsidSect="00334ED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250" w:rsidRDefault="00207250" w:rsidP="00334ED6">
      <w:r>
        <w:separator/>
      </w:r>
    </w:p>
  </w:endnote>
  <w:endnote w:type="continuationSeparator" w:id="1">
    <w:p w:rsidR="00207250" w:rsidRDefault="00207250" w:rsidP="00334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ED6" w:rsidRDefault="00334ED6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334ED6" w:rsidRDefault="00334ED6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207250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841F49">
                  <w:rPr>
                    <w:noProof/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250" w:rsidRDefault="00207250" w:rsidP="00334ED6">
      <w:r>
        <w:separator/>
      </w:r>
    </w:p>
  </w:footnote>
  <w:footnote w:type="continuationSeparator" w:id="1">
    <w:p w:rsidR="00207250" w:rsidRDefault="00207250" w:rsidP="00334E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83D0518"/>
    <w:rsid w:val="000A70FD"/>
    <w:rsid w:val="00207250"/>
    <w:rsid w:val="00334ED6"/>
    <w:rsid w:val="00841F49"/>
    <w:rsid w:val="009A4720"/>
    <w:rsid w:val="00CC14F1"/>
    <w:rsid w:val="12081EE0"/>
    <w:rsid w:val="218B56D6"/>
    <w:rsid w:val="33E6434A"/>
    <w:rsid w:val="483D0518"/>
    <w:rsid w:val="63352C48"/>
    <w:rsid w:val="69FC5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4ED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334ED6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334E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334E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Balloon Text"/>
    <w:basedOn w:val="a"/>
    <w:link w:val="Char"/>
    <w:rsid w:val="00841F49"/>
    <w:rPr>
      <w:sz w:val="18"/>
      <w:szCs w:val="18"/>
    </w:rPr>
  </w:style>
  <w:style w:type="character" w:customStyle="1" w:styleId="Char">
    <w:name w:val="批注框文本 Char"/>
    <w:basedOn w:val="a0"/>
    <w:link w:val="a6"/>
    <w:rsid w:val="00841F4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3</cp:revision>
  <dcterms:created xsi:type="dcterms:W3CDTF">2019-05-22T14:09:00Z</dcterms:created>
  <dcterms:modified xsi:type="dcterms:W3CDTF">2019-07-08T03:19:00Z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