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中华人民共和国森林法实施条例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2000年1月29日中华人民共和国国务院令第278号发布　</w:t>
      </w:r>
      <w:bookmarkEnd w:id="0"/>
      <w:r>
        <w:rPr>
          <w:rFonts w:ascii="Times New Roman" w:hAnsi="Times New Roman" w:eastAsia="楷体_GB2312" w:cs="Times New Roman"/>
          <w:sz w:val="32"/>
          <w:szCs w:val="32"/>
        </w:rPr>
        <w:t>根据2011年1月8日《国务院关于废止和修改部分行政法规的决定》第一次修订　根据2016年2月6日《国务院关于修改部分行政法规的决定》第二次修订　根据2018年3月19日《国务院关于修改和废止部分行政法规的决定》第三次修订)</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根据《中华人民共和国森林法》(以下简称森林法)，制定本条例。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森林资源，包括森林、林木、林地以及依托森林、林木、林地生存的野生动物、植物和微生物。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森林，包括乔木林和竹林。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林木，包括树木和竹子。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林地，包括郁闭度0.2以上的乔木林地以及竹林地、灌木林地、疏林地、采伐迹地、火烧迹地、未成林造林地、苗圃地和县级以上人民政府规划的宜林地。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国家依法实行森林、林木和林地登记发证制度。依法登记的森林、林木和林地的所有权、使用权受法律保护，任何单位和个人不得侵犯。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森林、林木和林地的权属证书式样由国务院林业主管部门规定。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依法使用的国家所有的森林、林木和林地，按照下列规定登记：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使用国务院确定的国家所有的重点林区(以下简称重点林区)的森林、林木和林地的单位，应当向国务院林业主管部门提出登记申请，由国务院林业主管部门登记造册，核发证书，确认森林、林木和林地使用权以及由使用者所有的林木所有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使用国家所有的跨行政区域的森林、林木和林地的单位和个人，应当向共同的上一级人民政府林业主管部门提出登记申请，由该人民政府登记造册，核发证书，确认森林、林木和林地使用权以及由使用者所有的林木所有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使用国家所有的其他森林、林木和林地的单位和个人，应当向县级以上地方人民政府林业主管部门提出登记申请，由县级以上地方人民政府登记造册，核发证书，确认森林、林木和林地使用权以及由使用者所有的林木所有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未确定使用权的国家所有的森林、林木和林地，由县级以上人民政府登记造册，负责保护管理。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集体所有的森林、林木和林地，由所有者向所在地的县级人民政府林业主管部门提出登记申请，由该县级人民政府登记造册，核发证书，确认所有权。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单位和个人所有的林木，由所有者向所在地的县级人民政府林业主管部门提出登记申请，由该县级人民政府登记造册，核发证书，确认林木所有权。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使用集体所有的森林、林木和林地的单位和个人，应当向所在地的县级人民政府林业主管部门提出登记申请，由该县级人民政府登记造册，核发证书，确认森林、林木和林地使用权。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改变森林、林木和林地所有权、使用权的，应当依法办理变更登记手续。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县级以上人民政府林业主管部门应当建立森林、林木和林地权属管理档案。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国家重点防护林和特种用途林，由国务院林业主管部门提出意见，报国务院批准公布；地方重点防护林和特种用途林，由省、自治区、直辖市人民政府林业主管部门提出意见，报本级人民政府批准公布；其他防护林、用材林、特种用途林以及经济林、薪炭林，由县级人民政府林业主管部门根据国家关于林种划分的规定和本级人民政府的部署组织划定，报本级人民政府批准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省、自治区、直辖市行政区域内的重点防护林和特种用途林的面积，不得少于本行政区域森林总面积的30%。</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经批准公布的林种改变为其他林种的，应当报原批准公布机关批准。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依照森林法第八条第一款第(五)项规定提取的资金，必须专门用于营造坑木、造纸等用材林，不得挪作他用。审计机关和林业主管部门应当加强监督。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国务院林业主管部门向重点林区派驻的森林资源监督机构，应当加强对重点林区内森林资源保护管理的监督检查。</w:t>
      </w:r>
    </w:p>
    <w:p>
      <w:pPr>
        <w:pStyle w:val="3"/>
        <w:bidi w:val="0"/>
      </w:pPr>
      <w:r>
        <w:t>第二章　森林经营管理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国务院林业主管部门应当定期监测全国森林资源消长和森林生态环境变化的情况。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重点林区森林资源调查、建立档案和编制森林经营方案等项工作，由国务院林业主管部门组织实施；其他森林资源调查、建立档案和编制森林经营方案等项工作，由县级以上地方人民政府林业主管部门组织实施。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制定林业长远规划，应当遵循下列原则：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(一)保护生态环境和促进经济的可持续发展；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(二)以现有的森林资源为基础；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(三)与土地利用总体规划、水土保持规划、城市规划、村庄和集镇规划相协调。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林业长远规划应当包括下列内容：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(一)林业发展目标；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(二)林种比例；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(三)林地保护利用规划；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(四)植树造林规划。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全国林业长远规划由国务院林业主管部门会同其他有关部门编制，报国务院批准后施行。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地方各级林业长远规划由县级以上地方人民政府林业主管部门会同其他有关部门编制，报本级人民政府批准后施行。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下级林业长远规划应当根据上一级林业长远规划编制。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林业长远规划的调整、修改，应当报经原批准机关批准。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w:t>
      </w:r>
      <w:r>
        <w:rPr>
          <w:rFonts w:ascii="Times New Roman" w:hAnsi="Times New Roman" w:eastAsia="仿宋_GB2312" w:cs="Times New Roman"/>
          <w:spacing w:val="-11"/>
          <w:sz w:val="32"/>
          <w:szCs w:val="32"/>
        </w:rPr>
        <w:t>国家依法保护森林、林木和林地经营者的合法权益。</w:t>
      </w:r>
      <w:r>
        <w:rPr>
          <w:rFonts w:ascii="Times New Roman" w:hAnsi="Times New Roman" w:eastAsia="仿宋_GB2312" w:cs="Times New Roman"/>
          <w:spacing w:val="0"/>
          <w:sz w:val="32"/>
          <w:szCs w:val="32"/>
        </w:rPr>
        <w:t>任何单位和个人不得侵占经营者依法所有的林木和使用的林地。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用材林、经济林和薪炭林的经营者，依法享有经营权、收益权和其他合法权益。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防护林和特种用途林的经营者，有获得森林生态效益补偿的权利。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勘查、开采矿藏和修建道路、水利、电力、通讯等工程，需要占用或者征收、征用林地的，必须遵守下列规定：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用地单位应当向县级以上人民政府林业主管部门提出用地申请，经审核同意后，按照国家规定的标准预交森林植被恢复费，领取使用林地审核同意书。用地单位凭使用林地审核同意书依法办理建设用地审批手续。占用或者征收、征用林地未经林业主管部门审核同意的，土地行政主管部门不得受理建设用地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占用或者征收、征用防护林林地或者特种用途林林地面积10公顷以上的，用材林、经济林、薪炭林林地及其采伐迹地面积35公顷以上的，其他林地面积70公顷以上的，由国务院林业主管部门审核；占用或者征收、征用林地面积低于上述规定数量的，由省、自治区、直辖市人民政府林业主管部门审核。占用或者征收、征用重点林区的林地的，由国务院林业主管部门审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(三)用地单位需要采伐已经批准占用或者征收、征用的林地上的林木时，应当向林地所在地的县级以上地方人民政府林业主管部门或者国务院林业主管部门申请林木采伐许可证。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(四)占用或者征收、征用林地未被批准的，有关林业主管部门应当自接到不予批准通知之日起7日内将收取的森林植被恢复费如数退还。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需要临时占用林地的，应当经县级以上人民政府林业主管部门批准。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临时占用林地的期限不得超过两年，并不得在临时占用的林地上修筑永久性建筑物；占用期满后，用地单位必须恢复林业生产条件。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森林经营单位在所经营的林地范围内修筑直接为林业生产服务的工程设施，需要占用林地的，由县级以上人民政府林业主管部门批准；修筑其他工程设施，需要将林地转为非林业建设用地的，必须依法办理建设用地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前款所称直接为林业生产服务的工程设施是指：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(一)培育、生产种子、苗木的设施；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(二)贮存种子、苗木、木材的设施；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(三)集材道、运材道；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(四)林业科研、试验、示范基地；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(五)野生动植物保护、护林、森林病虫害防治、森林防火、木材检疫的设施；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(六)供水、供电、供热、供气、通讯基础设施。</w:t>
      </w:r>
    </w:p>
    <w:p>
      <w:pPr>
        <w:pStyle w:val="3"/>
        <w:bidi w:val="0"/>
      </w:pPr>
      <w:r>
        <w:t>第三章　森林保护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县级以上人民政府林业主管部门应当根据森林病虫害测报中心和测报点对测报对象的调查和监测情况，定期发布长期、中期、短期森林病虫害预报，并及时提出防治方案。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森林经营者应当选用良种，营造混交林，实行科学育林，提高防御森林病虫害的能力。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发生森林病虫害时，有关部门、森林经营者应当采取综合防治措施，及时进行除治。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发生严重森林病虫害时，当地人民政府应当采取紧急除治措施，防止蔓延，消除隐患。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国务院林业主管部门负责确定全国林木种苗检疫对象。省、自治区、直辖市人民政府林业主管部门根据本地区的需要，可以确定本省、自治区、直辖市的林木种苗补充检疫对象，报国务院林业主管部门备案。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禁止毁林开垦、毁林采种和违反操作技术规程采脂、挖笋、掘根、剥树皮及过度修枝的毁林行为。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25度以上的坡地应当用于植树、种草。25度以上的坡耕地应当按照当地人民政府制定的规划，逐步退耕，植树和种草。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发生森林火灾时，当地人民政府必须立即组织军民扑救；有关部门应当积极做好扑救火灾物资的供应、运输和通讯、医疗等工作。</w:t>
      </w:r>
    </w:p>
    <w:p>
      <w:pPr>
        <w:pStyle w:val="3"/>
        <w:bidi w:val="0"/>
      </w:pPr>
      <w:r>
        <w:t>第四章　植树造林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森林法所称森林覆盖率，是指以行政区域为单位森林面积与土地面积的百分比。森林面积，包括郁闭度0.2以上的乔木林地面积和竹林地面积、国家特别规定的灌木林地面积、农田林网以及村旁、路旁、水旁、宅旁林木的覆盖面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县级以上地方人民政府应当按照国务院确定的森林覆盖率奋斗目标，确定本行政区域森林覆盖率的奋斗目标，并组织实施。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植树造林应当遵守造林技术规程，实行科学造林，提高林木的成活率。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县级人民政府对本行政区域内当年造林的情况应当组织检查验收，除国家特别规定的干旱、半干旱地区外，成活率不足85%的，不得计入年度造林完成面积。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国家对造林绿化实行部门和单位负责制。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铁路公路两旁、江河两岸、湖泊水库周围，各有关主管单位是造林绿化的责任单位。工矿区，机关、学校用地，部队营区以及农场、牧场、渔场经营地区，各该单位是造林绿化的责任单位。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责任单位的造林绿化任务，由所在地的县级人民政府下达责任通知书，予以确认。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国家保护承包造林者依法享有的林木所有权和其他合法权益。未经发包方和承包方协商一致，不得随意变更或者解除承包造林合同。</w:t>
      </w:r>
    </w:p>
    <w:p>
      <w:pPr>
        <w:pStyle w:val="3"/>
        <w:bidi w:val="0"/>
      </w:pPr>
      <w:r>
        <w:t>第五章　森林采伐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国家所有的森林和林木以国有林业企业事业单位、农场、厂矿为单位，集体所有的森林和林木、个人所有的林木以县为单位，制定年森林采伐限额，由省、自治区、直辖市人民政府林业主管部门汇总、平衡，经本级人民政府审核后，报国务院批准；其中，重点林区的年森林采伐限额，由国务院林业主管部门报国务院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国务院批准的年森林采伐限额，每5年核定一次。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采伐森林、林木作为商品销售的，必须纳入国家年度木材生产计划；但是，农村居民采伐自留山上个人所有的薪炭林和自留地、房前屋后个人所有的零星林木除外。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申请林木采伐许可证，除应当提交申请采伐林木的所有权证书或者使用权证书外，还应当按照下列规定提交其他有关证明文件：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(一)国有林业企业事业单位还应当提交采伐区调查设计文件和上年度采伐更新验收证明；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(二)其他单位还应当提交包括采伐林木的目的、地点、林种、林况、面积、蓄积量、方式和更新措施等内容的文件；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(三)个人还应当提交包括采伐林木的地点、面积、树种、株数、蓄积量、更新时间等内容的文件。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因扑救森林火灾、防洪抢险等紧急情况需要采伐林木的，组织抢险的单位或者部门应当自紧急情况结束之日起30日内，将采伐林木的情况报告当地县级以上人民政府林业主管部门。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有下列情形之一的，不得核发林木采伐许可证：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(一)防护林和特种用途林进行非抚育或者非更新性质的采伐的，或者采伐封山育林期、封山育林区内的林木的；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(二)上年度采伐后未完成更新造林任务的；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(三)上年度发生重大滥伐案件、森林火灾或者大面积严重森林病虫害，未采取预防和改进措施的。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林木采伐许可证的式样由国务院林业主管部门规定，由省、自治区、直辖市人民政府林业主管部门印制。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除森林法已有明确规定的外，林木采伐许可证按照下列规定权限核发：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(一)县属国有林场，由所在地的县级人民政府林业主管部门核发；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(二)省、自治区、直辖市和设区的市、自治州所属的国有林业企业事业单位、其他国有企业事业单位，由所在地的省、自治区、直辖市人民政府林业主管部门核发；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(三)重点林区的国有林业企业事业单位，由国务院林业主管部门核发。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利用外资营造的用材林达到一定规模需要采伐的，应当在国务院批准的年森林采伐限额内，由省、自治区、直辖市人民政府林业主管部门批准，实行采伐限额单列。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木材收购单位和个人不得收购没有林木采伐许可证或者其他合法来源证明的木材。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前款所称木材，是指原木、锯材、竹材、木片和省、自治区、直辖市规定的其他木材。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从林区运出非国家统一调拨的木材，必须持有县级以上人民政府林业主管部门核发的木材运输证。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重点林区的木材运输证，由省、自治区、直辖市人民政府林业主管部门核发；其他木材运输证，由县级以上地方人民政府林业主管部门核发。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木材运输证自木材起运点到终点全程有效，必须随货同行。没有木材运输证的，承运单位和个人不得承运。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木材运输证的式样由国务院林业主管部门规定。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申请木材运输证，应当提交下列证明文件：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(一)林木采伐许可证或者其他合法来源证明；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(二)检疫证明；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(三)省、自治区、直辖市人民政府林业主管部门规定的其他文件。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符合前款条件的，受理木材运输证申请的县级以上人民政府林业主管部门应当自接到申请之日起3日内发给木材运输证。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依法发放的木材运输证所准运的木材运输总量，不得超过当地年度木材生产计划规定可以运出销售的木材总量。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经省、自治区、直辖市人民政府批准在林区设立的木材检查站，负责检查木材运输；无证运输木材的，木材检查站应当予以制止，可以暂扣无证运输的木材，并立即报请县级以上人民政府林业主管部门依法处理。</w:t>
      </w:r>
    </w:p>
    <w:p>
      <w:pPr>
        <w:pStyle w:val="3"/>
        <w:bidi w:val="0"/>
      </w:pPr>
      <w:r>
        <w:t>第六章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盗伐森林或者其他林木，以立木材积计算不足0.5立方米或者幼树不足20株的，由县级以上人民政府林业主管部门责令补种盗伐株数10倍的树木，没收盗伐的林木或者变卖所得，并处盗伐林木价值3倍至5倍的罚款。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盗伐森林或者其他林木，以立木材积计算0.5立方米以上或者幼树20株以上的，由县级以上人民政府林业主管部门责令补种盗伐株数10倍的树木，没收盗伐的林木或者变卖所得，并处盗伐林木价值5倍至10倍的罚款。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滥伐森林或者其他林木，以立木材积计算不足2立方米或者幼树不足50株的，由县级以上人民政府林业主管部门责令补种滥伐株数5倍的树木，并处滥伐林木价值2倍至3倍的罚款。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滥伐森林或者其他林木，以立木材积计算2立方米以上或者幼树50株以上的，由县级以上人民政府林业主管部门责令补种滥伐株数5倍的树木，并处滥伐林木价值3倍至5倍的罚款。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超过木材生产计划采伐森林或者其他林木的，依照前两款规定处罚。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违反本条例规定，收购没有林木采伐许可证或者其他合法来源证明的木材的，由县级以上人民政府林业主管部门没收非法经营的木材和违法所得，并处违法所得2倍以下的罚款。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违反本条例规定，毁林采种或者违反操作技术规程采脂、挖笋、掘根、剥树皮及过度修枝，致使森林、林木受到毁坏的，依法赔偿损失，由县级以上人民政府林业主管部门责令停止违法行为，补种毁坏株数1倍至3倍的树木，可以处毁坏林木价值1倍至5倍的罚款；拒不补种树木或者补种不符合国家有关规定的，由县级以上人民政府林业主管部门组织代为补种，所需费用由违法者支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森林法和本条例规定，擅自开垦林地，致使森林、林木受到毁坏的，依照森林法第四十四条的规定予以处罚；对森林、林木未造成毁坏或者被开垦的林地上没有森林、林木的，由县级以上人民政府林业主管部门责令停止违法行为，限期恢复原状，可以处非法开垦林地每平方米10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有下列情形之一的，由县级以上人民政府林业主管部门责令限期完成造林任务；逾期未完成的，可以处应完成而未完成造林任务所需费用2倍以下的罚款；对直接负责的主管人员和其他直接责任人员，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(一)连续两年未完成更新造林任务的；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(二)当年更新造林面积未达到应更新造林面积50%的；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(三)除国家特别规定的干旱、半干旱地区外，更新造林当年成活率未达到85%的；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(四)植树造林责任单位未按照所在地县级人民政府的要求按时完成造林任务的。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未经县级以上人民政府林业主管部门审核同意，擅自改变林地用途的，由县级以上人民政府林业主管部门责令限期恢复原状，并处非法改变用途林地每平方米10元至30元的罚款。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临时占用林地，逾期不归还的，依照前款规定处罚。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无木材运输证运输木材的，由县级以上人民政府林业主管部门没收非法运输的木材，对货主可以并处非法运输木材价款30%以下的罚款。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运输的木材数量超出木材运输证所准运的运输数量的，由县级以上人民政府林业主管部门没收超出部分的木材；运输的木材树种、材种、规格与木材运输证规定不符又无正当理由的，没收其不相符部分的木材。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使用伪造、涂改的木材运输证运输木材的，由县级以上人民政府林业主管部门没收非法运输的木材，并处没收木材价款10%至50%的罚款。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承运无木材运输证的木材的，由县级以上人民政府林业主管部门没收运费，并处运费1倍至3倍的罚款。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擅自移动或者毁坏林业服务标志的，由县级以上人民政府林业主管部门责令限期恢复原状；逾期不恢复原状的，由县级以上人民政府林业主管部门代为恢复，所需费用由违法者支付。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违反本条例规定，未经批准，擅自将防护林和特种用途林改变为其他林种的，由县级以上人民政府林业主管部门收回经营者所获取的森林生态效益补偿，并处所获取森林生态效益补偿3倍以下的罚款。</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本条例中县级以上地方人民政府林业主管部门职责权限的划分，由国务院林业主管部门具体规定。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本条例自发布之日起施行。1986年4月28日国务院批准、1986年5月10日林业部发布的《中华人民共和国森林法实施细则》同时废止。</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040A6B"/>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FE10B9"/>
    <w:rsid w:val="0FB80839"/>
    <w:rsid w:val="107A4DEE"/>
    <w:rsid w:val="10A47D69"/>
    <w:rsid w:val="11366EEC"/>
    <w:rsid w:val="11A80578"/>
    <w:rsid w:val="12146020"/>
    <w:rsid w:val="12C10B30"/>
    <w:rsid w:val="134A1994"/>
    <w:rsid w:val="136642BB"/>
    <w:rsid w:val="142327B5"/>
    <w:rsid w:val="14484CDF"/>
    <w:rsid w:val="1530169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FD764D6"/>
    <w:rsid w:val="1FE16FBA"/>
    <w:rsid w:val="2037230C"/>
    <w:rsid w:val="2096095A"/>
    <w:rsid w:val="20D86240"/>
    <w:rsid w:val="21CE0F2E"/>
    <w:rsid w:val="221D0BEA"/>
    <w:rsid w:val="22DD4281"/>
    <w:rsid w:val="24263C7F"/>
    <w:rsid w:val="253620CC"/>
    <w:rsid w:val="25981EEB"/>
    <w:rsid w:val="25BF3D61"/>
    <w:rsid w:val="25F044FF"/>
    <w:rsid w:val="26A760E3"/>
    <w:rsid w:val="26C10A61"/>
    <w:rsid w:val="26CA1A3A"/>
    <w:rsid w:val="26DF6D2B"/>
    <w:rsid w:val="27680A3B"/>
    <w:rsid w:val="27A96F19"/>
    <w:rsid w:val="2834230D"/>
    <w:rsid w:val="287A18EA"/>
    <w:rsid w:val="28BF5896"/>
    <w:rsid w:val="28F8723D"/>
    <w:rsid w:val="2A8D0D45"/>
    <w:rsid w:val="2B01664D"/>
    <w:rsid w:val="2C7458A4"/>
    <w:rsid w:val="2CD50485"/>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7022F6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F66CF8"/>
    <w:rsid w:val="40FE47B4"/>
    <w:rsid w:val="41B857FD"/>
    <w:rsid w:val="429465D8"/>
    <w:rsid w:val="43110E6A"/>
    <w:rsid w:val="431B4937"/>
    <w:rsid w:val="434336CE"/>
    <w:rsid w:val="4361706F"/>
    <w:rsid w:val="43CA1521"/>
    <w:rsid w:val="43D46F84"/>
    <w:rsid w:val="444B0E8A"/>
    <w:rsid w:val="454D6241"/>
    <w:rsid w:val="45866A2B"/>
    <w:rsid w:val="46D80A88"/>
    <w:rsid w:val="46EE0064"/>
    <w:rsid w:val="47793996"/>
    <w:rsid w:val="47A250A3"/>
    <w:rsid w:val="48AC4D69"/>
    <w:rsid w:val="48D05719"/>
    <w:rsid w:val="494B3B16"/>
    <w:rsid w:val="49C224BB"/>
    <w:rsid w:val="4A4F5FBC"/>
    <w:rsid w:val="4A732A37"/>
    <w:rsid w:val="4B2E2D61"/>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0B0A42"/>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4D7776"/>
    <w:rsid w:val="5E900D37"/>
    <w:rsid w:val="5F5011B7"/>
    <w:rsid w:val="5F88093C"/>
    <w:rsid w:val="5FDB251D"/>
    <w:rsid w:val="60492E1B"/>
    <w:rsid w:val="60FB7125"/>
    <w:rsid w:val="61152047"/>
    <w:rsid w:val="620467BA"/>
    <w:rsid w:val="622D2BEC"/>
    <w:rsid w:val="62F60DE0"/>
    <w:rsid w:val="63740607"/>
    <w:rsid w:val="63DD0DD3"/>
    <w:rsid w:val="63DE7402"/>
    <w:rsid w:val="641F5EE8"/>
    <w:rsid w:val="642517C4"/>
    <w:rsid w:val="649C0E8F"/>
    <w:rsid w:val="64E17C95"/>
    <w:rsid w:val="65152017"/>
    <w:rsid w:val="652E7954"/>
    <w:rsid w:val="65532802"/>
    <w:rsid w:val="65BF6566"/>
    <w:rsid w:val="665D25F4"/>
    <w:rsid w:val="66E50FB1"/>
    <w:rsid w:val="674048E2"/>
    <w:rsid w:val="67D71794"/>
    <w:rsid w:val="68426F20"/>
    <w:rsid w:val="68715924"/>
    <w:rsid w:val="6A403C00"/>
    <w:rsid w:val="6A49703B"/>
    <w:rsid w:val="6B120859"/>
    <w:rsid w:val="6B4C7D1B"/>
    <w:rsid w:val="6C267EB4"/>
    <w:rsid w:val="6CC94056"/>
    <w:rsid w:val="6CD653AF"/>
    <w:rsid w:val="6D1363D3"/>
    <w:rsid w:val="6D15429C"/>
    <w:rsid w:val="6D614426"/>
    <w:rsid w:val="6DA577A5"/>
    <w:rsid w:val="6DB8609B"/>
    <w:rsid w:val="6DB87D30"/>
    <w:rsid w:val="6E804287"/>
    <w:rsid w:val="6EB30283"/>
    <w:rsid w:val="6F605325"/>
    <w:rsid w:val="6FAA67D8"/>
    <w:rsid w:val="705926FD"/>
    <w:rsid w:val="70817970"/>
    <w:rsid w:val="712B5699"/>
    <w:rsid w:val="72A30A90"/>
    <w:rsid w:val="72AE5309"/>
    <w:rsid w:val="72C042BE"/>
    <w:rsid w:val="73160902"/>
    <w:rsid w:val="735A6A5C"/>
    <w:rsid w:val="746D1278"/>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2019-12-25T11:13:08Z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