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bookmarkStart w:id="0" w:name="_GoBack"/>
      <w:bookmarkEnd w:id="0"/>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r>
        <w:rPr>
          <w:rFonts w:hint="eastAsia" w:ascii="宋体" w:hAnsi="宋体" w:eastAsia="宋体" w:cs="Times New Roman"/>
          <w:kern w:val="2"/>
          <w:sz w:val="44"/>
          <w:szCs w:val="44"/>
          <w:lang w:val="en-US" w:eastAsia="zh-CN" w:bidi="ar"/>
        </w:rPr>
        <w:t>中华人民共和国河道管理条例</w:t>
      </w: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(1988年6月10日中华人民共和国国务院令第3号发布　根据2011年1月8日《国务院关于废止和修改部分行政法规的决定》第一次修订　根据2017年3月1日《国务院关于修改和废止部分行政法规的决定》第二次修订　根据2017年10月7日《国务院关于修改部分行政法规的决定》第三次修订　根据2018年3月19日《国务院关于修改和废止部分行政法规的决定》第四次修订)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为加强河道管理，保障防洪安全，发挥江河湖泊的综合效益，根据《中华人民共和国水法》，制定本条例。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本条例适用于中华人民共和国领域内的河道(包括湖泊、人工水道、行洪区、蓄洪区、滞洪区)。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河道内的航道，同时适用《中华人民共和国航道管理条例》。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开发利用江河湖泊水资源和防治水害，应当全面规划、统筹兼顾、综合利用、讲求效益，服从防洪的总体安排，促进各项事业的发展。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国务院水利行政主管部门是全国河道的主管机关。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各省、自治区、直辖市的水利行政主管部门是该行政区域的河道主管机关。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国家对河道实行按水系统一管理和分级管理相结合的原则。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长江、黄河、淮河、海河、珠江、松花江、辽河等大江大河的主要河段，跨省、自治区、直辖市的重要河段，省、自治区、直辖市之间的边界河道以及国境边界河道，由国家授权的江河流域管理机构实施管理，或者由上述江河所在省、自治区、直辖市的河道主管机关根据流域统一规划实施管理。其他河道由省、自治区、直辖市或者市、县的河道主管机关实施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河道划分等级。河道等级标准由国务院水利行政主管部门制定。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河道防汛和清障工作实行地方人民政府行政首长负责制。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各级人民政府河道主管机关以及河道监理人员，必须按照国家法律、法规，加强河道管理，执行供水计划和防洪调度命令，维护水工程和人民生命财产安全。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一切单位和个人都有保护河道堤防安全和参加防汛抢险的义务。</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河道整治与建设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河道的整治与建设，应当服从流域综合规划，符合国家规定的防洪标准、通航标准和其他有关技术要求，维护堤防安全，保持河势稳定和行洪、航运通畅。</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修建开发水利、防治水害、整治河道的各类工程和跨河、穿河、穿堤、临河的桥梁、码头、道路、渡口、管道、缆线等建筑物及设施，建设单位必须按照河道管理权限，将工程建设方案报送河道主管机关审查同意。未经河道主管机关审查同意的，建设单位不得开工建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建设项目经批准后，建设单位应当将施工安排告知河道主管机关。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修建桥梁、码头和其他设施，必须按照国家规定的防洪标准所确定的河宽进行，不得缩窄行洪通道。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桥梁和栈桥的梁底必须高于设计洪水位，并按照防洪和航运的要求，留有一定的超高。设计洪水位由河道主管机关根据防洪规划确定。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跨越河道的管道、线路的净空高度必须符合防洪和航运的要求。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交通部门进行航道整治，应当符合防洪安全要求，并事先征求河道主管机关对有关设计和计划的意见。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水利部门进行河道整治，涉及航道的，应当兼顾航运的需要，并事先征求交通部门对有关设计和计划的意见。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在国家规定可以流放竹木的河流和重要的渔业水域进行河道、航道整治，建设单位应当兼顾竹木水运和渔业发展的需要，并事先将有关设计和计划送同级林业、渔业主管部门征求意见。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堤防上已修建的涵闸、泵站和埋设的穿堤管道、缆线等建筑物及设施，河道主管机关应当定期检查，对不符合工程安全要求的，限期改建。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在堤防上新建前款所指建筑物及设施，应当服从河道主管机关的安全管理。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确需利用堤顶或者戗台兼做公路的，须经县级以上地方人民政府河道主管机关批准。堤身和堤顶公路的管理和维护办法，由河道主管机关商交通部门制定。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城镇建设和发展不得占用河道滩地。城镇规划的临河界限，由河道主管机关会同城镇规划等有关部门确定。沿河城镇在编制和审查城镇规划时，应当事先征求河道主管机关的意见。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河道岸线的利用和建设，应当服从河道整治规划和航道整治规划。计划部门在审批利用河道岸线的建设项目时，应当事先征求河道主管机关的意见。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河道岸线的界限，由河道主管机关会同交通等有关部门报县级以上地方人民政府划定。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河道清淤和加固堤防取土以及按照防洪规划进行河道整治需要占用的土地，由当地人民政府调剂解决。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因修建水库、整治河道所增加的可利用土地，属于国家所有，可以由县级以上人民政府用于移民安置和河道整治工程。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省、自治区、直辖市以河道为边界的，在河道两岸外侧各10公里之内，以及跨省、自治区、直辖市的河道，未经有关各方达成协议或者国务院水利行政主管部门批准，禁止单方面修建排水、阻水、引水、蓄水工程以及河道整治工程。</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河道保护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有堤防的河道，其管理范围为两岸堤防之间的水域、沙洲、滩地(包括可耕地)、行洪区，两岸堤防及护堤地。</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无堤防的河道，其管理范围根据历史最高洪水位或者设计洪水位确定。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河道的具体管理范围，由县级以上地方人民政府负责划定。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在河道管理范围内，水域和土地的利用应当符合江河行洪、输水和航运的要求；滩地的利用，应当由河道主管机关会同土地管理等有关部门制定规划，报县级以上地方人民政府批准后实施。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禁止损毁堤防、护岸、闸坝等水工程建筑物和防汛设施、水文监测和测量设施、河岸地质监测设施以及通信照明等设施。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在防汛抢险期间，无关人员和车辆不得上堤。</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因降雨雪等造成堤顶泥泞期间，禁止车辆通行，但防汛抢险车辆除外。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禁止非管理人员操作河道上的涵闸闸门，禁止任何组织和个人干扰河道管理单位的正常工作。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在河道管理范围内，禁止修建围堤、阻水渠道、阻水道路；种植高杆农作物、芦苇、杞柳、荻柴和树木(堤防防护林除外)；设置拦河渔具；弃置矿渣、石渣、煤灰、泥土、垃圾等。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在堤防和护堤地，禁止建房、放牧、开渠、打井、挖窖、葬坟、晒粮、存放物料、开采地下资源、进行考古发掘以及开展集市贸易活动。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在河道管理范围内进行下列活动，必须报经河道主管机关批准；涉及其他部门的，由河道主管机关会同有关部门批准：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(一)采砂、取土、淘金、弃置砂石或者淤泥；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(二)爆破、钻探、挖筑鱼塘；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(三)在河道滩地存放物料、修建厂房或者其他建筑设施；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(四)在河道滩地开采地下资源及进行考古发掘。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根据堤防的重要程度、堤基土质条件等，河道主管机关报经县级以上人民政府批准，可以在河道管理范围的相连地域划定堤防安全保护区。在堤防安全保护区内，禁止进行打井、钻探、爆破、挖筑鱼塘、采石、取土等危害堤防安全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禁止围湖造田。已经围垦的，应当按照国家规定的防洪标准进行治理，逐步退田还湖。湖泊的开发利用规划必须经河道主管机关审查同意。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禁止围垦河流，确需围垦的，必须经过科学论证，并经省级以上人民政府批准。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加强河道滩地、堤防和河岸的水土保持工作，防止水土流失、河道淤积。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江河的故道、旧堤、原有工程设施等，不得擅自填堵、占用或者拆毁。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护堤护岸林木，由河道管理单位组织营造和管理，其他任何单位和个人不得侵占、砍伐或者破坏。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河道管理单位对护堤护岸林木进行抚育和更新性质的采伐及用于防汛抢险的采伐，根据国家有关规定免交育林基金。</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在为保证堤岸安全需要限制航速的河段，河道主管机关应当会同交通部门设立限制航速的标志，通行的船舶不得超速行驶。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在汛期，船舶的行驶和停靠必须遵守防汛指挥部的规定。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山区河道有山体滑坡、崩岸、泥石流等自然灾害的河段，河道主管机关应当会同地质、交通等部门加强监测。在上述河段，禁止从事开山采石、采矿、开荒等危及山体稳定的活动。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在河道中流放竹木，不得影响行洪、航运和水工程安全，并服从当地河道主管机关的安全管理。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在汛期，河道主管机关有权对河道上的竹木和其他漂流物进行紧急处置。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向河道、湖泊排污的排污口的设置和扩大，排污单位在向环境保护部门申报之前，应当征得河道主管机关的同意。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在河道管理范围内，禁止堆放、倾倒、掩埋、排放污染水体的物体。禁止在河道内清洗装贮过油类或者有毒污染物的车辆、容器。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河道主管机关应当开展河道水质监测工作，协同环境保护部门对水污染防治实施监督管理。</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河道清障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对河道管理范围内的阻水障碍物，按照</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谁设障，谁清除</w:t>
      </w:r>
      <w:r>
        <w:rPr>
          <w:rFonts w:hint="eastAsia" w:ascii="宋体" w:hAnsi="宋体" w:eastAsia="宋体" w:cs="Times New Roman"/>
          <w:kern w:val="2"/>
          <w:sz w:val="21"/>
          <w:szCs w:val="21"/>
          <w:lang w:val="en-US" w:eastAsia="zh-CN" w:bidi="ar"/>
        </w:rPr>
        <w:t>”</w:t>
      </w:r>
      <w:r>
        <w:rPr>
          <w:rFonts w:hint="eastAsia" w:ascii="仿宋_GB2312" w:hAnsi="Times New Roman" w:eastAsia="仿宋_GB2312" w:cs="Times New Roman"/>
          <w:kern w:val="2"/>
          <w:sz w:val="32"/>
          <w:szCs w:val="32"/>
          <w:lang w:val="en-US" w:eastAsia="zh-CN" w:bidi="ar"/>
        </w:rPr>
        <w:t>的原则，由河道主管机关提出清障计划和实施方案，由防汛指挥部责令设障者在规定的期限内清除。逾期不清除的，由防汛指挥部组织强行清除，并由设障者负担全部清障费用。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对壅水、阻水严重的桥梁、引道、码头和其他跨河工程设施，根据国家规定的防洪标准，由河道主管机关提出意见并报经人民政府批准，责成原建设单位在规定的期限内改建或者拆除。汛期影响防洪安全的，必须服从防汛指挥部的紧急处理决定。</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经费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河道堤防的防汛岁修费，按照分级管理的原则，分别由中央财政和地方财政负担，列入中央和地方年度财政预算。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受益范围明确的堤防、护岸、水闸、圩垸、海塘和排涝工程设施，河道主管机关可以向受益的工商企业等单位和农户收取河道工程修建维护管理费，其标准应当根据工程修建和维护管理费用确定。收费的具体标准和计收办法由省、自治区、直辖市人民政府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在河道管理范围内采砂、取土、淘金，必须按照经批准的范围和作业方式进行，并向河道主管机关缴纳管理费。收费的标准和计收办法由国务院水利行政主管部门会同国务院财政主管部门制定。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任何单位和个人，凡对堤防、护岸和其他水工程设施造成损坏或者造成河道淤积的，由责任者负责修复、清淤或者承担维修费用。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河道主管机关收取的各项费用，用于河道堤防工程的建设、管理、维修和设施的更新改造。结余资金可以连年结转使用，任何部门不得截取或者挪用。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河道两岸的城镇和农村，当地县级以上人民政府可以在汛期组织堤防保护区域内的单位和个人义务出工，对河道堤防工程进行维修和加固。</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罚则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违反本条例规定，有下列行为之一的，县级以上地方人民政府河道主管机关除责令其纠正违法行为、采取补救措施外，可以并处警告、罚款、没收非法所得；对有关责任人员，由其所在单位或者上级主管机关给予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(一)在河道管理范围内弃置、堆放阻碍行洪物体的；种植阻碍行洪的林木或者高秆植物的；修建围堤、阻水渠道、阻水道路的；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(二)在堤防、护堤地建房、放牧、开渠、打井、挖窖、葬坟、晒粮、存放物料、开采地下资源、进行考古发掘以及开展集市贸易活动的；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(三)未经批准或者不按照国家规定的防洪标准、工程安全标准整治河道或者修建水工程建筑物和其他设施的；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(四)未经批准或者不按照河道主管机关的规定在河道管理范围内采砂、取土、淘金、弃置砂石或者淤泥、爆破、钻探、挖筑鱼塘的；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(五)未经批准在河道滩地存放物料、修建厂房或者其他建筑设施，以及开采地下资源或者进行考古发掘的；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(六)违反本条例第二十七条的规定，围垦湖泊、河流的；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(七)擅自砍伐护堤护岸林木的；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(八)汛期违反防汛指挥部的规定或者指令的。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违反本条例规定，有下列行为之一的，县级以上地方人民政府河道主管机关除责令其纠正违法行为、赔偿损失、采取补救措施外，可以并处警告、罚款；应当给予治安管理处罚的，按照《中华人民共和国治安管理处罚法》的规定处罚；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(一)损毁堤防、护岸、闸坝、水工程建筑物，损毁防汛设施、水文监测和测量设施、河岸地质监测设施以及通信照明等设施；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(二)在堤防安全保护区内进行打井、钻探、爆破、挖筑鱼塘、采石、取土等危害堤防安全的活动的；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(三)非管理人员操作河道上的涵闸闸门或者干扰河道管理单位正常工作的。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当事人对行政处罚决定不服的，可以在接到处罚通知之日起15日内，向作出处罚决定的机关的上一级机关申请复议，对复议决定不服的，可以在接到复议决定之日起15日内，向人民法院起诉。当事人也可以在接到处罚通知之日起15日内，直接向人民法院起诉。当事人逾期不申请复议或者不向人民法院起诉又不履行处罚决定的，由作出处罚决定的机关申请人民法院强制执行。对治安管理处罚不服的，按照《中华人民共和国治安管理处罚法》的规定办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对违反本条例规定，造成国家、集体、个人经济损失的，受害方可以请求县级以上河道主管机关处理。受害方也可以直接向人民法院起诉。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当事人对河道主管机关的处理决定不服的，可以在接到通知之日起，15日内向人民法院起诉。</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河道主管机关的工作人员以及河道监理人员玩忽职守、滥用职权、徇私舞弊的，由其所在单位或者上级主管机关给予行政处分；对公共财产、国家和人民利益造成重大损失的，依法追究刑事责任。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各省、自治区、直辖市人民政府，可以根据本条例的规定，结合本地区的实际情况，制定实施办法。</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本条例由国务院水利行政主管部门负责解释。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本条例自发布之日起施行。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10317338"/>
    <w:rsid w:val="00120A7F"/>
    <w:rsid w:val="00153CAB"/>
    <w:rsid w:val="003D6474"/>
    <w:rsid w:val="0082144E"/>
    <w:rsid w:val="00B91924"/>
    <w:rsid w:val="00C86348"/>
    <w:rsid w:val="00FB7B06"/>
    <w:rsid w:val="10317338"/>
    <w:rsid w:val="117C412C"/>
    <w:rsid w:val="2B9A4F8F"/>
    <w:rsid w:val="5C6423B7"/>
    <w:rsid w:val="744F7631"/>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12</Pages>
  <Words>797</Words>
  <Characters>4549</Characters>
  <Lines>37</Lines>
  <Paragraphs>10</Paragraphs>
  <TotalTime>0</TotalTime>
  <ScaleCrop>false</ScaleCrop>
  <LinksUpToDate>false</LinksUpToDate>
  <CharactersWithSpaces>5336</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2019-05-24T11:59:00Z</dcterms:created>
  <dc:creator>Administrator</dc:creator>
  <cp:lastModifiedBy>Administrator</cp:lastModifiedBy>
  <cp:lastPrinted>2019-05-25T03:10:00Z</cp:lastPrinted>
  <dcterms:modified xsi:type="dcterms:W3CDTF">2019-12-25T13:48:37Z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