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中华人民共和国海关</w:t>
      </w:r>
    </w:p>
    <w:p>
      <w:pPr>
        <w:pStyle w:val="10"/>
        <w:jc w:val="center"/>
        <w:rPr>
          <w:rFonts w:ascii="Times New Roman" w:hAnsi="Times New Roman" w:cs="Times New Roman"/>
          <w:sz w:val="32"/>
          <w:szCs w:val="32"/>
        </w:rPr>
      </w:pPr>
      <w:r>
        <w:rPr>
          <w:rFonts w:ascii="Times New Roman" w:hAnsi="Times New Roman" w:cs="Times New Roman"/>
          <w:sz w:val="44"/>
          <w:szCs w:val="44"/>
        </w:rPr>
        <w:t>对出口加工区监管的暂行办法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(2000年4月27日国务院批准　2000年5月24日海关总署令第81号公布　2002年6月21日国务院批准第一次修订　根据2003年9月2日《国务院关于修改〈中华人民共和国海关对出口加工区监管的暂行办法〉的决定》第二次修订　根据2011年1月8日《国务院关于废止和修改部分行政法规的决定》第三次修订)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为加强与完善加工贸易管理，规范海关对出口加工区的监管，促进出口加工区的健康发展，鼓励扩大外贸出口，根据《中华人民共和国海关法》和国家有关法律、法规，制定本办法。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为防止重复建设，在中华人民共和国境内设立出口加工区(以下简称加工区)，只能设在已经国务院批准的现有经济技术开发区内，并由省(自治区、直辖市)人民政府报国务院批准。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加工区是海关监管的特定区域。海关在加工区内设立机构，并依照本办法，对进、出加工区的货物及区内相关场所实行24小时监管。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加工区与中华人民共和国境内的其他地区(以下简称区外)之间，须设置符合海关监管要求的隔离设施及闭路电视监控系统。经海关总署对加工区的隔离设施验收合格后，方可开展加工区有关业务。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区内设置加工区管理委员会和出口加工企业、专为出口加工企业生产提供服务的仓储企业以及经海关核准专门从事加工区内货物进、出的运输企业。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除安全保卫人员和企业值班人员外，其他人员不得在加工区内居住。不得建立营业性的生活消费设施。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区内不得经营商业零售、一般贸易、转口贸易及其他与加工区无关的业务。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在加工区内设立的企业(以下简称区内企业)，应向海关办理注册手续。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区内企业应当依据《中华人民共和国会计法》及国家有关法律、法规的规定，设置符合海关监管要求的账簿、报表。凭合法、有效凭证记账并进行核算，记录本企业有关进、出加工区货物和物品的库存、转让、转移、销售、加工、使用和损耗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加工区实行计算机联网管理和海关稽查制度。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区内企业应建立符合海关监管要求的电子计算机管理数据库，并与海关实行电子计算机联网，进行电子数据交换。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区内企业开展加工贸易业务不实行加工贸易银行保证金台账制度，海关不实行《加工贸易登记手册》管理。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海关对进、出加工区的货物、物品、运输工具、人员及区内有关场所，有权依照《中华人民共和国海关法》的规定进行检查、查验。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国家对区内加工产品不征收增值税。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国家禁止进、出口的货物、物品，不得进、出加工区。</w:t>
      </w:r>
    </w:p>
    <w:p>
      <w:pPr>
        <w:pStyle w:val="3"/>
        <w:bidi w:val="0"/>
        <w:rPr>
          <w:rFonts w:ascii="Times New Roman" w:hAnsi="Times New Roman" w:eastAsia="仿宋_GB2312" w:cs="Times New Roman"/>
          <w:szCs w:val="32"/>
        </w:rPr>
      </w:pPr>
      <w:r>
        <w:t>第二章　对加工区与境外之间进出货物的监管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加工区与境外之间进、出的货物，由货主或其代理人根据加工区管理委员会的批件，填写进、出境货物备案清单，向主管海关备案。备案清单由海关总署统一制发。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海关对加工区与境外之间进、出的货物，按照直通式或转关运输的办法进行监管。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加工区与境外之间进、出的货物，除实行出口被动配额管理的外，不实行进出口配额、许可证件管理。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从境外进入加工区的货物，其进口关税和进口环节税，除法律、法规另有规定外，按照下列规定办理：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(一)区内生产性的基础设施建设项目所需的机器、设备和建设生产厂房、仓储设施所需的基建物资，予以免税；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(二)区内企业生产所需的机器、设备、模具及其维修用零配件，予以免税；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(三)区内企业为加工出口产品所需的原材料、零部件、元器件、包装物料及消耗性材料，予以保税；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(四)区内企业和行政管理机构自用合理数量的办公用品，予以免税；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(五)区内企业和行政管理机构自用的交通运输工具、生活消费用品，按进口货物的有关规定办理报关手续，海关予以照章征税。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除法律、法规另有规定外，区内企业加工的制成品及其在加工生产过程中产生的边角料、余料、残次品、废品等销往境外的，免征出口关税。</w:t>
      </w:r>
    </w:p>
    <w:p>
      <w:pPr>
        <w:pStyle w:val="3"/>
        <w:bidi w:val="0"/>
      </w:pPr>
      <w:r>
        <w:t>第三章　对加工区与区外之间进出货物的监管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对加工区运往区外的货物，海关按照对进口货物的有关规定办理报关手续，并按照制成品征税。如属许可证件管理商品，还应向海关出具有效的进口许可证件。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区内企业的加工产品和在加工生产过程中产生的边角料、残次品、废品等应复运出境。因特殊情况需要运往区外时，由企业申请，经主管海关核准后，按内销时的状态确定归类并征税。如属进口许可证件管理商品，免领进口许可证件。如属《限制进口类可用作原料的废物目录》所列商品，应按现行规定向环保部门申领进口许可证件。对无商业价值的边角料和废品，需运往区外销毁的，应凭加工区管理委员会和环保部门的批件，向主管海关办理出区手续，海关予以免进口许可证件、免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区内企业在确有需要时，可将有关模具、半成品等运往区外进行加工。经加工区主管海关关长批准，由接受委托的区外企业向加工区主管海关缴纳货物应征关税和进口环节增值税等值保证金或保函后办理出区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委托区外企业加工的期限由加工区主管海关参照合同期限核定。货物加工完毕后应按期运回区内。区内企业凭出区时填写的委托区外加工申请书及有关单证，向加工区主管海关办理验放核销手续。加工区主管海关在办理验放核销手续后，应及时退还保证金或保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区内企业销往区外的机器、设备、模具等，按照国家现行进口政策及有关规定办理。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区内企业经主管海关批准，可在区外进行产品的测试、检验和展示活动。测试、检验和展示的产品，应比照海关对暂时进口货物的管理规定办理出区手续。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区内使用的机器、设备、模具和办公用品等，须运往区外进行维修、测试或检验时，区内企业或管理机构应填写《出口加工区货物运往区外维修查验联系单》，向主管海关提出申请，并经主管海关核准、登记、查验后，方可将机器、设备、模具和办公用品等运往区外维修、测试或检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区内企业将模具运往区外维修、测试或检验时，应留存模具所生产产品的样品，以备海关对运回区内的模具进行核查。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运往区外维修、测试或检验的机器、设备、模具和办公用品等，不得用于区外加工生产和使用。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运往区外维修、测试或检验的机器、设备、模具和办公用品等，应自运出之日起2个月内运回加工区。因特殊情况不能如期运回的，区内企业应于期限届满前7天内，向主管海关说明情况，并申请延期。申请延期以1次为限，延长期限不得超过1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运往区外维修的机器、设备、模具和办公用品等，运回区内时，要以海关能辨认其为原物或同一规格的新零件、配件或附件为限，但更换新零件、配件或附件的，原零件、配件或附件应一并运回区内。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从区外进入加工区的货物视同出口，办理出口报关手续。其出口退税，除法律、法规另有规定外，按照以下规定办理：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从区外进入加工区供区内企业使用的国产机器、设备、原材料、零部件、元器件、包装物料以及建造基础设施、加工企业和行政管理部门生产、办公用房所需合理数量的基建物资等，海关按照对出口货物的有关规定办理报关手续，并签发出口退税报关单。区外企业凭报关单出口退税联向税务部门申请办理出口退(免)税手续，具体退(免)税管理办法由国家税务总局另行下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(二)从区外进入加工区供区内企业和行政管理机构使用的生活消费用品、交通运输工具等，海关不予签发出口退税报关单。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区外进入加工区的进口机器、设备、原材料、零部件、元器件、包装物料、基建物资等，区外企业应当向海关提供上述货物或物品的清单，并办理出口报关手续，经海关查验后放行。上述货物或物品，已经缴纳的进口环节税，不予退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因国内技术无法达到产品要求、须将国家禁止出口或统一经营商品运至加工区内进行某项工序加工的，应报经商务部批准，海关比照出料加工管理办法进行监管，其运入加工区的货物，不予签发出口退税报关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从区外进入加工区的货物、物品，应运入加工区内海关指定仓库或地点，区外企业填写出口报关单，并持境内购货发票、装箱单，向加工区的主管海关办理报关手续。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从区外进入加工区的货物，须经区内企业进行实质性加工后，方可运出境外。</w:t>
      </w:r>
    </w:p>
    <w:p>
      <w:pPr>
        <w:pStyle w:val="3"/>
        <w:bidi w:val="0"/>
      </w:pPr>
      <w:r>
        <w:t>第四章　对加工区内货物的监管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区内企业进、出加工区的货物须向其主管海关如实申报，海关依据备案清单及有关单证，对区内企业进、出加工区的货物进行查验、放行和核销。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海关对进、出加工区货物的备案、报关、查验、放行、核销手续应在区内办理。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加工区内的货物可在区内企业之间转让、转移，双方当事人须事先将转让、转移货物的具体品名、数量、金额等有关事项向海关备案。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区内加工企业，不得将未经实质性加工的进口原材料、零部件销往区外。区内从事仓储服务的企业，不得将仓储的原材料、零部件提供给区外企业。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区内企业自开展出口加工业务或仓储业务之日起，每半年持本企业账册和有关单据，向其主管海关办理一次核销手续。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进入加工区的货物，在加工、储存期间，因不可抗力造成短少、损毁的，区内加工企业或仓储企业应自发现之日起10日内报告主管海关，并说明理由。经海关核实确认后，准其在账册内减除。</w:t>
      </w:r>
    </w:p>
    <w:p>
      <w:pPr>
        <w:pStyle w:val="3"/>
        <w:bidi w:val="0"/>
        <w:rPr>
          <w:rFonts w:ascii="Times New Roman" w:hAnsi="Times New Roman" w:eastAsia="仿宋_GB2312" w:cs="Times New Roman"/>
          <w:szCs w:val="32"/>
        </w:rPr>
      </w:pPr>
      <w:r>
        <w:t>第五章　对加工区之间往来货物的监管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加工区之间货物的往来，应由收、发货物双方联名向转出区主管海关提出申请。经海关核准后，按照转关运输的有关规定办理。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货物转关至其他加工区时，转入区主管海关在核对封志完整及单货相符后，即予放行入厂或入库。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加工区之间往来的货物不能按照转关运输办理的，转入区主管海关应向收货企业收取货物等值的担保金。货物运抵转入区并经海关核对无误后，主管海关应在10个工作日内，将担保金退还企业。</w:t>
      </w:r>
    </w:p>
    <w:p>
      <w:pPr>
        <w:pStyle w:val="3"/>
        <w:bidi w:val="0"/>
      </w:pPr>
      <w:r>
        <w:t>第六章　对进、出加工区运输工具和个人携带物品的监管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运输工具和人员应经海关指定的专用通道进、出加工区。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从加工区运往境外的加工产品及由加工区运往区外的货物，经海关查验放行后，应交由经海关核准、并由设立于区内的专营运输企业承运。下列货物经主管海关查验后，可由企业指派专人携带或自行运输：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(一)价值1万美元及以下的小额物品；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(二)因品质不合格复运区外退换的物品；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(三)已办理进口纳税手续的物品；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w:t>
      </w:r>
      <w:bookmarkStart w:id="0" w:name="_GoBack"/>
      <w:bookmarkEnd w:id="0"/>
      <w:r>
        <w:rPr>
          <w:rFonts w:ascii="Times New Roman" w:hAnsi="Times New Roman" w:eastAsia="仿宋_GB2312" w:cs="Times New Roman"/>
          <w:sz w:val="32"/>
          <w:szCs w:val="32"/>
        </w:rPr>
        <w:t>其他经海关核准的物品。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进、出加工区货物的运输工具的负责人，应持企业法人营业执照和运输工具的名称、数量、牌照号码及驾驶员姓名等清单，向海关办理登记备案手续。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承运加工区货物进、出加工区或转关运输的所有运输企业的经营人，应遵守海关有关运输工具及其所载货物的管理规定，并承担相关的法律责任。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未经海关批准，从加工区到区外的运输工具和人员不得运输、携带加工区内货物出区。</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从境外运入加工区的货物和从加工区运出境外的货物列入进、出口统计。从区外运入加工区和从加工区运往区外的货物，实施单项统计。统计办法由海关总署另行制定。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违反本办法规定的，由海关依照《中华人民共和国海关法》及《中华人民共和国海关行政处罚实施条例》的有关规定进行处理。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本办法自2000年5月24日起施行。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20D86240"/>
    <w:rsid w:val="21CE0F2E"/>
    <w:rsid w:val="22DD4281"/>
    <w:rsid w:val="253620CC"/>
    <w:rsid w:val="25F044FF"/>
    <w:rsid w:val="26CA1A3A"/>
    <w:rsid w:val="27680A3B"/>
    <w:rsid w:val="2834230D"/>
    <w:rsid w:val="28F8723D"/>
    <w:rsid w:val="2B01664D"/>
    <w:rsid w:val="2D644059"/>
    <w:rsid w:val="2DBE0D65"/>
    <w:rsid w:val="2E1B43B4"/>
    <w:rsid w:val="2ED32E01"/>
    <w:rsid w:val="2FF20DF5"/>
    <w:rsid w:val="318138A8"/>
    <w:rsid w:val="320E2B0A"/>
    <w:rsid w:val="32252208"/>
    <w:rsid w:val="3330356C"/>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4855567"/>
    <w:rsid w:val="47A250A3"/>
    <w:rsid w:val="48502FA2"/>
    <w:rsid w:val="48AC4D69"/>
    <w:rsid w:val="494B3B16"/>
    <w:rsid w:val="49C224BB"/>
    <w:rsid w:val="4DC87E21"/>
    <w:rsid w:val="4EDF3D2B"/>
    <w:rsid w:val="4EED79F5"/>
    <w:rsid w:val="5080370D"/>
    <w:rsid w:val="523F45D1"/>
    <w:rsid w:val="52695AB4"/>
    <w:rsid w:val="529D4C7B"/>
    <w:rsid w:val="53BF5C69"/>
    <w:rsid w:val="53DA0A43"/>
    <w:rsid w:val="55B865F8"/>
    <w:rsid w:val="55D520AC"/>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B6A71F7"/>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2019-06-03T13:30:10Z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