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中华人民共和国涉外海洋科学研究管理规定</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1996年6月18日中华人民共和国国务院令第199号发布　</w:t>
      </w:r>
      <w:bookmarkEnd w:id="0"/>
      <w:r>
        <w:rPr>
          <w:rFonts w:ascii="Times New Roman" w:hAnsi="Times New Roman" w:eastAsia="楷体_GB2312" w:cs="Times New Roman"/>
          <w:sz w:val="32"/>
          <w:szCs w:val="32"/>
        </w:rPr>
        <w:t>自1996年10月1日起施行)</w:t>
      </w:r>
    </w:p>
    <w:p>
      <w:pPr>
        <w:pStyle w:val="10"/>
        <w:ind w:firstLine="640" w:firstLineChars="200"/>
        <w:rPr>
          <w:rFonts w:ascii="Times New Roman" w:hAnsi="Times New Roman" w:cs="Times New Roman"/>
          <w:sz w:val="32"/>
          <w:szCs w:val="32"/>
        </w:rPr>
      </w:pP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第一条　</w:t>
      </w:r>
      <w:r>
        <w:rPr>
          <w:rFonts w:hint="eastAsia" w:ascii="仿宋_GB2312" w:hAnsi="仿宋_GB2312" w:eastAsia="仿宋_GB2312" w:cs="仿宋_GB2312"/>
          <w:sz w:val="32"/>
          <w:szCs w:val="32"/>
        </w:rPr>
        <w:t>为了加强对在中华人民共和国管辖海域内进行涉外海洋科学研究活动的管理，促进海洋科学研究的国际交流与合作，维护国家安全和海洋权益，制定本规定。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第二条　</w:t>
      </w:r>
      <w:r>
        <w:rPr>
          <w:rFonts w:hint="eastAsia" w:ascii="仿宋_GB2312" w:hAnsi="仿宋_GB2312" w:eastAsia="仿宋_GB2312" w:cs="仿宋_GB2312"/>
          <w:sz w:val="32"/>
          <w:szCs w:val="32"/>
        </w:rPr>
        <w:t>本规定适用于国际组织、外国的组织和个人(以下简称外方)为和平目的，单独或者与中华人民共和国的组织(以下简称中方)合作，使用船舶或者其他运载工具、设施，在中华人民共和国内海、领海以及中华人民共和国管辖的其他海域内进行的对海洋环境和海洋资源等的调查研究活动。但是，海洋矿产资源(包括海洋石油资源)勘查、海洋渔业资源调查和国家重点保护的海洋野生动物考察等活动，适用中华人民共和国有关法律、行政法规的规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第三条　</w:t>
      </w:r>
      <w:r>
        <w:rPr>
          <w:rFonts w:hint="eastAsia" w:ascii="仿宋_GB2312" w:hAnsi="仿宋_GB2312" w:eastAsia="仿宋_GB2312" w:cs="仿宋_GB2312"/>
          <w:sz w:val="32"/>
          <w:szCs w:val="32"/>
        </w:rPr>
        <w:t>中华人民共和国国家海洋行政主管部门(以下简称国家海洋行政主管部门)及其派出机构或者其委托的机构，对在中华人民共和国管辖海域内进行的涉外海洋科学研究活动，依照本规定实施管理。</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国务院其他有关部门根据国务院规定的职责，协同国家海洋行政主管部门对在中华人民共和国管辖海域内进行的涉外海洋科学研究活动实施管理。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第四条　</w:t>
      </w:r>
      <w:r>
        <w:rPr>
          <w:rFonts w:hint="eastAsia" w:ascii="仿宋_GB2312" w:hAnsi="仿宋_GB2312" w:eastAsia="仿宋_GB2312" w:cs="仿宋_GB2312"/>
          <w:sz w:val="32"/>
          <w:szCs w:val="32"/>
        </w:rPr>
        <w:t>在中华人民共和国内海、领海内，外方进行海洋科学研究活动，应当采用与中方合作的方式。在中华人民共和国管辖的其他海域内，外方可以单独或者与中方合作进行海洋科学研究活动。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外方单独或者与中方合作进行海洋科学研究活动，须经国家海洋行政主管部门批准或者由国家海洋行政主管部门报请国务院批准，并遵守中华人民共和国的有关法律、法规。</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第五条　</w:t>
      </w:r>
      <w:r>
        <w:rPr>
          <w:rFonts w:hint="eastAsia" w:ascii="仿宋_GB2312" w:hAnsi="仿宋_GB2312" w:eastAsia="仿宋_GB2312" w:cs="仿宋_GB2312"/>
          <w:sz w:val="32"/>
          <w:szCs w:val="32"/>
        </w:rPr>
        <w:t>外方与中方合作进行海洋科学研究活动的，中方应当在海洋科学研究计划预定开始日期6个月前，向国家海洋行政主管部门提出书面申请，并按照规定提交海洋科学研究计划和其他有关说明材料。</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外方单独进行海洋科学研究活动的，应当在海洋科学研究计划预定开始日期6个月前，通过外交途径向国家海洋行政主管部门提出书面申请，并按照规定提交海洋科学研究计划和其他有关说明材料。</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国家海洋行政主管部门收到海洋科学研究申请后，应当会同外交部、军事主管部门以及国务院其他有关部门进行审查，在4个月内作出批准或者不批准的决定，或者提出审查意见报请国务院决定。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第六条　</w:t>
      </w:r>
      <w:r>
        <w:rPr>
          <w:rFonts w:hint="eastAsia" w:ascii="仿宋_GB2312" w:hAnsi="仿宋_GB2312" w:eastAsia="仿宋_GB2312" w:cs="仿宋_GB2312"/>
          <w:sz w:val="32"/>
          <w:szCs w:val="32"/>
        </w:rPr>
        <w:t>经批准进行涉外海洋科学研究活动的，申请人应当在各航次开始之日2个月前，将海上船只活动计划报国家海洋行政主管部门审批。国家海洋行政主管部门应当自收到海上船只活动计划之日起1个月内作出批准或者不批准的决定，并书面通知申请人，同时通报国务院有关部门。</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第七条　</w:t>
      </w:r>
      <w:r>
        <w:rPr>
          <w:rFonts w:hint="eastAsia" w:ascii="仿宋_GB2312" w:hAnsi="仿宋_GB2312" w:eastAsia="仿宋_GB2312" w:cs="仿宋_GB2312"/>
          <w:sz w:val="32"/>
          <w:szCs w:val="32"/>
        </w:rPr>
        <w:t>有关中外双方或者外方应当按照经批准的海洋科学研究计划和海上船只活动计划进行海洋科学研究活动；海洋科学研究计划或者海上船只活动计划在执行过程中需要作重大修改的，应当征得国家海洋行政主管部门同意。</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因不可抗力不能执行经批准的海洋科学研究计划或者海上船只活动计划的，有关中外双方或者外方应当及时报告国家海洋行政主管部门；在不可抗力消失后，可以恢复执行、修改计划或者中止执行计划。</w:t>
      </w:r>
    </w:p>
    <w:p>
      <w:pPr>
        <w:pStyle w:val="10"/>
        <w:ind w:firstLine="640" w:firstLineChars="200"/>
        <w:rPr>
          <w:rFonts w:ascii="Times New Roman" w:hAnsi="Times New Roman" w:cs="Times New Roman"/>
          <w:sz w:val="32"/>
          <w:szCs w:val="32"/>
        </w:rPr>
      </w:pPr>
      <w:r>
        <w:rPr>
          <w:rFonts w:ascii="Times New Roman" w:hAnsi="Times New Roman" w:eastAsia="黑体" w:cs="Times New Roman"/>
          <w:sz w:val="32"/>
          <w:szCs w:val="32"/>
        </w:rPr>
        <w:t>第八条　</w:t>
      </w:r>
      <w:r>
        <w:rPr>
          <w:rFonts w:hint="eastAsia" w:ascii="仿宋_GB2312" w:hAnsi="仿宋_GB2312" w:eastAsia="仿宋_GB2312" w:cs="仿宋_GB2312"/>
          <w:sz w:val="32"/>
          <w:szCs w:val="32"/>
        </w:rPr>
        <w:t>进行涉外海洋科学研究活动的，不得将有害物质引入海洋环境，不得擅自钻探或者使用炸药作业。</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第九条　</w:t>
      </w:r>
      <w:r>
        <w:rPr>
          <w:rFonts w:hint="eastAsia" w:ascii="仿宋_GB2312" w:hAnsi="仿宋_GB2312" w:eastAsia="仿宋_GB2312" w:cs="仿宋_GB2312"/>
          <w:sz w:val="32"/>
          <w:szCs w:val="32"/>
        </w:rPr>
        <w:t>中外合作使用外国籍调查船在中华人民共和国内海、领海内进行海洋科学研究活动的，作业船舶应当于格林威治时间每天00时和08时，向国家海洋行政主管部门报告船位及船舶活动情况。外方单独或者中外合作使用外国籍调查船在中华人民共和国管辖的其他海域内进行海洋科学研究活动的，作业船舶应当于格林威治时间每天02时，向国家海洋行政主管部门报告船位及船舶活动情况。</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国家海洋行政主管部门或者其派出机构、其委托的机构可以对前款外国籍调查船进行海上监视或者登船检查。</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第十条　</w:t>
      </w:r>
      <w:r>
        <w:rPr>
          <w:rFonts w:hint="eastAsia" w:ascii="仿宋_GB2312" w:hAnsi="仿宋_GB2312" w:eastAsia="仿宋_GB2312" w:cs="仿宋_GB2312"/>
          <w:sz w:val="32"/>
          <w:szCs w:val="32"/>
        </w:rPr>
        <w:t>中外合作在中华人民共和国内海、领海内进行海洋科学研究活动所获得的原始资料和样品，归中华人民共和国所有，参加合作研究的外方可以依照合同约定无偿使用。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中外合作在中华人民共和国管辖的其他海域内进行海洋科学研究活动所获得的原始资料和样品，在不违反中华人民共和国有关法律、法规和有关规定的前提下，由中外双方按照协议分享，都可以无偿使用。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外方单独进行海洋科学研究活动所获得的原始资料和样品，中华人民共和国的有关组织可以无偿使用；外方应当向国家海洋行政主管部门无偿提供所获得的资料的复制件和可分样品。</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未经国家海洋行政主管部门以及国务院其他有关部门同意，有关中外双方或者外方不得公开发表或者转让在中华人民共和国管辖海域内进行海洋科学研究活动所获得的原始资料和样品。</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第十一条　</w:t>
      </w:r>
      <w:r>
        <w:rPr>
          <w:rFonts w:hint="eastAsia" w:ascii="仿宋_GB2312" w:hAnsi="仿宋_GB2312" w:eastAsia="仿宋_GB2312" w:cs="仿宋_GB2312"/>
          <w:sz w:val="32"/>
          <w:szCs w:val="32"/>
        </w:rPr>
        <w:t>外方单独或者中外合作进行的海洋科学研究活动结束后，所使用的外国籍调查船应当接受国家海洋行政主管部门或者其派出机构、其委托的机构检查。</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第十二条　</w:t>
      </w:r>
      <w:r>
        <w:rPr>
          <w:rFonts w:hint="eastAsia" w:ascii="仿宋_GB2312" w:hAnsi="仿宋_GB2312" w:eastAsia="仿宋_GB2312" w:cs="仿宋_GB2312"/>
          <w:sz w:val="32"/>
          <w:szCs w:val="32"/>
        </w:rPr>
        <w:t>中外合作进行的海洋科学研究活动结束后，中方应当将研究成果和资料目录抄报国家海洋行政主管部门和国务院有关部门。</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外方单独进行的海洋科学研究活动结束后，应当向国家海洋行政主管部门提供该项活动所获得的资料或者复制件和样品或者可分样品，并及时提供有关阶段性研究成果以及最后研究成果和结论。</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第十三条　</w:t>
      </w:r>
      <w:r>
        <w:rPr>
          <w:rFonts w:hint="eastAsia" w:ascii="仿宋_GB2312" w:hAnsi="仿宋_GB2312" w:eastAsia="仿宋_GB2312" w:cs="仿宋_GB2312"/>
          <w:sz w:val="32"/>
          <w:szCs w:val="32"/>
        </w:rPr>
        <w:t>违反本规定进行涉外海洋科学研究活动的，由国家海洋行政主管部门或者其派出机构、其委托的机构责令停止该项活动，可以没收违法活动器具、没收违法获得的资料和样品，可以单处或者并处5万元人民币以下的罚款。</w:t>
      </w:r>
    </w:p>
    <w:p>
      <w:pPr>
        <w:pStyle w:val="10"/>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违反本规定造成重大损失或者引起严重后果，构成犯罪的，依法追究刑事责任。</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第十四条　</w:t>
      </w:r>
      <w:r>
        <w:rPr>
          <w:rFonts w:hint="eastAsia" w:ascii="仿宋_GB2312" w:hAnsi="仿宋_GB2312" w:eastAsia="仿宋_GB2312" w:cs="仿宋_GB2312"/>
          <w:sz w:val="32"/>
          <w:szCs w:val="32"/>
        </w:rPr>
        <w:t>中华人民共和国缔结或者参加的国际条约与本规定有不同规定的，适用该国际条约的规定；但是，中华人民共和国声明保留的条款除外。</w:t>
      </w:r>
    </w:p>
    <w:p>
      <w:pPr>
        <w:pStyle w:val="10"/>
        <w:ind w:firstLine="640" w:firstLineChars="200"/>
        <w:rPr>
          <w:rFonts w:hint="eastAsia" w:ascii="仿宋_GB2312" w:hAnsi="仿宋_GB2312" w:eastAsia="仿宋_GB2312" w:cs="仿宋_GB2312"/>
          <w:sz w:val="32"/>
          <w:szCs w:val="32"/>
          <w:lang w:eastAsia="zh-CN"/>
        </w:rPr>
      </w:pPr>
      <w:r>
        <w:rPr>
          <w:rFonts w:ascii="Times New Roman" w:hAnsi="Times New Roman" w:eastAsia="黑体" w:cs="Times New Roman"/>
          <w:sz w:val="32"/>
          <w:szCs w:val="32"/>
        </w:rPr>
        <w:t>第十五条　</w:t>
      </w:r>
      <w:r>
        <w:rPr>
          <w:rFonts w:hint="eastAsia" w:ascii="仿宋_GB2312" w:hAnsi="仿宋_GB2312" w:eastAsia="仿宋_GB2312" w:cs="仿宋_GB2312"/>
          <w:sz w:val="32"/>
          <w:szCs w:val="32"/>
        </w:rPr>
        <w:t>本规定自1996年10月1日起施行。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8097C"/>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430BD4"/>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2019-06-10T12:55:48Z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