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中华人民共和国监控化学品管理条例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Times New Roman" w:hAnsi="Times New Roman" w:eastAsia="楷体_GB2312" w:cs="Times New Roman"/>
          <w:sz w:val="32"/>
          <w:szCs w:val="32"/>
          <w:lang w:eastAsia="zh-CN"/>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11"/>
          <w:sz w:val="32"/>
          <w:szCs w:val="32"/>
        </w:rPr>
        <w:t>1995年12月27日中华人民共和国国务院令第190号发布　</w:t>
      </w:r>
      <w:bookmarkEnd w:id="0"/>
      <w:r>
        <w:rPr>
          <w:rFonts w:ascii="Times New Roman" w:hAnsi="Times New Roman" w:eastAsia="楷体_GB2312" w:cs="Times New Roman"/>
          <w:sz w:val="32"/>
          <w:szCs w:val="32"/>
        </w:rPr>
        <w:t>根据2011年1月8日《国务院关于废止和修改部分行政法规的决定》修订)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为了加强对监控化学品的管理，保障公民的人身安全和保护环境，制定本条例。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在中华人民共和国境内从事监控化学品的生产、经营和使用活动，必须遵守本条例。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本条例所称监控化学品，是指下列各类化学品：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第一类：可作为化学武器的化学品；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第二类：可作为生产化学武器前体的化学品；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第三类：可作为生产化学武器主要原料的化学品；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第四类：除炸药和纯碳氢化合物外的特定有机化学品。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前款各类监控化学品的名录由国务院化学工业主管部门提出，报国务院批准后公布。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国务院化学工业主管部门负责全国监控化学品的管理工作。省、自治区、直辖市人民政府化学工业主管部门负责本行政区域内监控化学品的管理工作。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生产、经营或者使用监控化学品的，应当依照本条例和国家有关规定向国务院化学工业主管部门或者省、自治区、直辖市人民政府化学工业主管部门申报生产、经营或者使用监控化学品的有关资料、数据和使用目的，接受化学工业主管部门的检查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国家严格控制第一类监控化学品的生产。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为科研、医疗、制造药物或者防护目的需要生产第一类监控化学品的，应当报国务院化学工业主管部门批准，并在国务院化学工业主管部门指定的小型设施中生产。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严禁在未经国务院化学工业主管部门指定的设施中生产第一类监控化学品。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家对第二类、第三类监控化学品和第四类监控化学品中含磷、硫、氟的特定有机化学品的生产，实行特别许可制度；未经特别许可的，任何单位和个人均不得生产。特别许可办法，由国务院化学工业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新建、扩建或者改建用于生产第二类、第三类监控化学品和第四类监控化学品中含磷、硫、氟的特定有机化学品的设施，应当向所在地省、自治区、直辖市人民政府化学工业主管部门提出申请，经省、自治区、直辖市人民政府化学工业主管部门审查签署意见，报国务院化学工业主管部门批准后，方可开工建设；工程竣工后，经所在地省、自治区、直辖市人民政府化学工业主管部门验收合格，并报国务院化学工业主管部门批准后，方可投产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新建、扩建或者改建用于生产第四类监控化学品中不含磷、硫、氟的特定有机化学品的设施，应当在开工生产前向所在地省、自治区、直辖市人民政府化学工业主管部门备案。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监控化学品应当在专用的化工仓库中储存，并设专人管理。监控化学品的储存条件应当符合国家有关规定。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储存监控化学品的单位，应当建立严格的出库、入库检查制度和登记制度；发现丢失、被盗时，应当立即报告当地公安机关和所在地省、自治区、直辖市人民政府化学工业主管部门；省、自治区、直辖市人民政府化学工业主管部门应当积极配合公安机关进行查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对变质或者过期失效的监控化学品，应当及时处理。处理方案报所在地省、自治区、直辖市人民政府化学工业主管部门批准后实施。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为科研、医疗、制造药物或者防护目的需要使用第一类监控化学品的，应当向国务院化学工业主管部门提出申请，经国务院化学工业主管部门审查批准后，凭批准文件同国务院化学工业主管部门指定的生产单位签订合同，并将合同副本报送国务院化学工业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需要使用第二类监控化学品的，应当向所在地省、自治区、直辖市人民政府化学工业主管部门提出申请，经省、自治区、直辖市人民政府化学工业主管部门审查批准后，凭批准文件同国务院化学工业主管部门指定的经销单位签订合同，并将合同副本报送所在地省、自治区、直辖市人民政府化学工业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国务院化学工业主管部门会同国务院对外经济贸易主管部门指定的单位(以下简称被指定单位)，可以从事第一类监控化学品和第二类、第三类监控化学品及其生产技术、专用设备的进出口业务。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需要进口或者出口第一类监控化学品和第二类、第三类监控化学品及其生产技术、专用设备的，应当委托被指定单位代理进口或者出口。除被指定单位外，任何单位和个人均不得从事这类进出口业务。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国家严格控制第一类监控化学品的进口和出口。非为科研、医疗、制造药物或者防护目的，不得进口第一类监控化学品。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受委托进口第一类监控化学品的被指定单位，应当向国务院化学工业主管部门提出申请，并提交产品最终用途的说明和证明；经国务院化学工业主管部门审查签署意见后，报国务院审查批准。被指定单位凭国务院的批准文件向国务院对外经济贸易主管部门申请领取进口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接受委托进口第二类、第三类监控化学品及其生产技术、专用设备的被指定单位，应当向国务院化学工业主管部门提出申请，并提交所进口的化学品、生产技术或者专用设备最终用途的说明和证明；经国务院化学工业主管部门审查批准后，被指定单位凭国务院化学工业主管部门的批准文件向国务院对外经济贸易主管部门申请领取进口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接受委托出口第一类监控化学品的被指定单位，应当向国务院化学工业主管部门提出申请，并提交进口国政府或者政府委托机构出具的所进口的化学品仅用于科研、医疗、制造药物或者防护目的和不转口第三国的保证书；经国务院化学工业主管部门审查签署意见后，报国务院审查批准。被指定单位凭国务院的批准文件向国务院对外经济贸易主管部门申请领取出口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接受委托出口第二类、第三类监控化学品及其生产技术、专用设备的被指定单位，应当向国务院化学工业主管部门提出申请，并提交进口国政府或者政府委托机构出具的所进口的化学品、生产技术、专用设备不用于生产化学武器和不转口第三国的保证书；经国务院化学工业主管部门审查批准后，被指定单位凭国务院化学工业主管部门的批准文件向国务院对外经济贸易主管部门申请领取出口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使用监控化学品的，应当与其申报的使用目的相一致；需要改变使用目的的，应当报原审批机关批准。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使用第一类、第二类监控化学品的，应当按照国家有关规定，定期向所在地省、自治区、直辖市人民政府化学工业主管部门报告消耗此类监控化学品的数量和使用此类监控化学品生产最终产品的数量。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违反本条例规定，生产监控化学品的，由省、自治区、直辖市人民政府化学工业主管部门责令限期改正；逾期不改正的，可以处20万元以下的罚款；情节严重的，可以提请省、自治区、直辖市人民政府责令停产整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违反本条例规定，使用监控化学品的，由省、自治区、直辖市人民政府化学工业主管部门责令限期改正；逾期不改正的，可以处5万元以下的罚款。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违反本条例规定，经营监控化学品的，由省、自治区、直辖市人民政府化学工业主管部门没收其违法经营的监控化学品和违法所得，可以并处违法经营额1倍以上2倍以下的罚款。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违反本条例规定，隐瞒、拒报有关监控化学品的资料、数据，或者妨碍、阻挠化学工业主管部门依照本条例的规定履行检查监督职责的，由省、自治区、直辖市人民政府化学工业主管部门处以5万元以下的罚款。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违反本条例规定，构成违反治安管理行为的，依照《中华人民共和国治安管理处罚法》的有关规定处罚；构成犯罪的，依法追究刑事责任。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在本条例施行前已经从事生产、经营或者使用监控化学品的，应当依照本条例的规定，办理有关手续。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本条例自发布之日起施行。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FF0C17"/>
    <w:rsid w:val="0963250F"/>
    <w:rsid w:val="097F7BAD"/>
    <w:rsid w:val="09B60066"/>
    <w:rsid w:val="0AEB2A0D"/>
    <w:rsid w:val="0B3D0578"/>
    <w:rsid w:val="0B52612D"/>
    <w:rsid w:val="0D3C4224"/>
    <w:rsid w:val="0D610029"/>
    <w:rsid w:val="0DFE10B9"/>
    <w:rsid w:val="10A47D69"/>
    <w:rsid w:val="134A1994"/>
    <w:rsid w:val="136642BB"/>
    <w:rsid w:val="142327B5"/>
    <w:rsid w:val="14484CDF"/>
    <w:rsid w:val="155E2CB3"/>
    <w:rsid w:val="18413C16"/>
    <w:rsid w:val="198A0A54"/>
    <w:rsid w:val="19DB6C33"/>
    <w:rsid w:val="1BB816ED"/>
    <w:rsid w:val="1C9212F7"/>
    <w:rsid w:val="20D86240"/>
    <w:rsid w:val="21CE0F2E"/>
    <w:rsid w:val="22DD4281"/>
    <w:rsid w:val="25F044FF"/>
    <w:rsid w:val="26CA1A3A"/>
    <w:rsid w:val="27680A3B"/>
    <w:rsid w:val="28F8723D"/>
    <w:rsid w:val="2B01664D"/>
    <w:rsid w:val="2D644059"/>
    <w:rsid w:val="2DBE0D65"/>
    <w:rsid w:val="2E1B43B4"/>
    <w:rsid w:val="2ED32E01"/>
    <w:rsid w:val="2FF20DF5"/>
    <w:rsid w:val="318138A8"/>
    <w:rsid w:val="32252208"/>
    <w:rsid w:val="33CF5811"/>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2695AB4"/>
    <w:rsid w:val="529D4C7B"/>
    <w:rsid w:val="53BF5C69"/>
    <w:rsid w:val="53DA0A43"/>
    <w:rsid w:val="55B865F8"/>
    <w:rsid w:val="575D4E2E"/>
    <w:rsid w:val="58035B31"/>
    <w:rsid w:val="58DB3D2C"/>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ABD49CD"/>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2019-06-11T04:52:28Z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