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Arial"/>
          <w:b w:val="0"/>
          <w:kern w:val="0"/>
          <w:sz w:val="44"/>
          <w:szCs w:val="32"/>
        </w:rPr>
      </w:pPr>
      <w:r>
        <w:rPr>
          <w:rFonts w:hint="eastAsia" w:ascii="Times New Roman" w:hAnsi="Times New Roman" w:eastAsia="宋体" w:cs="Arial"/>
          <w:b w:val="0"/>
          <w:kern w:val="0"/>
          <w:sz w:val="44"/>
          <w:szCs w:val="32"/>
        </w:rPr>
        <w:t>中华人民共和国耕地占用税法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Arial"/>
          <w:b w:val="0"/>
          <w:kern w:val="0"/>
          <w:sz w:val="32"/>
          <w:szCs w:val="32"/>
        </w:rPr>
      </w:pPr>
      <w:r>
        <w:rPr>
          <w:rFonts w:hint="eastAsia" w:ascii="Times New Roman" w:hAnsi="Times New Roman" w:eastAsia="楷体_GB2312" w:cs="Arial"/>
          <w:b w:val="0"/>
          <w:kern w:val="0"/>
          <w:sz w:val="32"/>
          <w:szCs w:val="32"/>
        </w:rPr>
        <w:t>（2018年12月29日第十三届全国人民代表大会常务委员会第七次会议通过）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第一条</w:t>
      </w:r>
      <w:r>
        <w:rPr>
          <w:rFonts w:hint="eastAsia" w:ascii="Times New Roman" w:hAnsi="Times New Roman" w:eastAsia="仿宋_GB2312" w:cs="Arial"/>
          <w:b w:val="0"/>
          <w:kern w:val="0"/>
          <w:sz w:val="32"/>
          <w:szCs w:val="32"/>
        </w:rPr>
        <w:t>　为了合理利用土地资源，加强土地管理，保护耕地，制定本法。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第二条</w:t>
      </w:r>
      <w:r>
        <w:rPr>
          <w:rFonts w:hint="eastAsia" w:ascii="Times New Roman" w:hAnsi="Times New Roman" w:eastAsia="仿宋_GB2312" w:cs="Arial"/>
          <w:b w:val="0"/>
          <w:kern w:val="0"/>
          <w:sz w:val="32"/>
          <w:szCs w:val="32"/>
        </w:rPr>
        <w:t>　在中华人民共和国境内占用耕地建设建筑物、构筑物或者从事非农业建设的单位和个人，为耕地占用税的纳税人，应当依照本法规定缴纳耕地占用税。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占用耕地建设农田水利设施的，不缴纳耕地占用税。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本法所称耕地，是指用于种植农作物的土地。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第三条</w:t>
      </w:r>
      <w:r>
        <w:rPr>
          <w:rFonts w:hint="eastAsia" w:ascii="Times New Roman" w:hAnsi="Times New Roman" w:eastAsia="仿宋_GB2312" w:cs="Arial"/>
          <w:b w:val="0"/>
          <w:kern w:val="0"/>
          <w:sz w:val="32"/>
          <w:szCs w:val="32"/>
        </w:rPr>
        <w:t>　耕地占用税以纳税人实际占用的耕地面积为计税依据，按照规定的适用税额一次性征收，应纳税额为纳税人实际占用的耕地面积（平方米）乘以适用税额。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第四条</w:t>
      </w:r>
      <w:r>
        <w:rPr>
          <w:rFonts w:hint="eastAsia" w:ascii="Times New Roman" w:hAnsi="Times New Roman" w:eastAsia="仿宋_GB2312" w:cs="Arial"/>
          <w:b w:val="0"/>
          <w:kern w:val="0"/>
          <w:sz w:val="32"/>
          <w:szCs w:val="32"/>
        </w:rPr>
        <w:t>　耕地占用税的税额如下：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（一）人均耕地不超过一亩的地区（以县、自治县、不设区的市、市辖区为单位，下同），每平方米为十元至五十元；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（二）人均耕地超过一亩但不超过二亩的地区，每平方米为八元至四十元；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（三）人均耕地超过二亩但不超过三亩的地区，每平方米为六元至三十元；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（四）人均耕地超过三亩的地区，每平方米为五元至二十五元。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各地区耕地占用税的适用税额，由省、自治区、直辖市人民政府根据人均耕地面积和经济发展等情况，在前款规定的税额幅度内提出，报同级人民代表大会常务委员会决定，并报全国人民代表大会常务委员会和国务院备案。各省、自治区、直辖市耕地占用税适用税额的平均水平，不得低于本法所附《各省、自治区、直辖市耕地占用税平均税额表》规定的平均税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第五条</w:t>
      </w:r>
      <w:r>
        <w:rPr>
          <w:rFonts w:hint="eastAsia" w:ascii="Times New Roman" w:hAnsi="Times New Roman" w:eastAsia="仿宋_GB2312" w:cs="Arial"/>
          <w:b w:val="0"/>
          <w:kern w:val="0"/>
          <w:sz w:val="32"/>
          <w:szCs w:val="32"/>
        </w:rPr>
        <w:t>　在人均耕地低于零点五亩的地区，省、自治区、直辖市可以根据当地经济发展情况，适当提高耕地占用税的适用税额，但提高的部分不得超过本法第四条第二款确定的适用税额的百分之五十。具体适用税额按照本法第四条第二款规定的程序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第六条</w:t>
      </w:r>
      <w:r>
        <w:rPr>
          <w:rFonts w:hint="eastAsia" w:ascii="Times New Roman" w:hAnsi="Times New Roman" w:eastAsia="仿宋_GB2312" w:cs="Arial"/>
          <w:b w:val="0"/>
          <w:kern w:val="0"/>
          <w:sz w:val="32"/>
          <w:szCs w:val="32"/>
        </w:rPr>
        <w:t>　占用基本农田的，应当按照本法第四条第二款或者第五条确定的当地适用税额，加按百分之一百五十征收。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第七条</w:t>
      </w:r>
      <w:r>
        <w:rPr>
          <w:rFonts w:hint="eastAsia" w:ascii="Times New Roman" w:hAnsi="Times New Roman" w:eastAsia="仿宋_GB2312" w:cs="Arial"/>
          <w:b w:val="0"/>
          <w:kern w:val="0"/>
          <w:sz w:val="32"/>
          <w:szCs w:val="32"/>
        </w:rPr>
        <w:t>　军事设施、学校、幼儿园、社会福利机构、医疗机构占用耕地，免征耕地占用税。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铁路线路、公路线路、飞机场跑道、停机坪、港口、航道、水利工程占用耕地，减按每平方米二元的税额征收耕地占用税。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农村居民在规定用地标准以内占用耕地新建自用住宅，按照当地适用税额减半征收耕地占用税；其中农村居民经批准搬迁，新建自用住宅占用耕地不超过原宅基地面积的部分，免征耕地占用税。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农村烈士遗属、因公牺牲军人遗属、残疾军人以及符合农村最低生活保障条件的农村居民，在规定用地标准以内新建自用住宅，免征耕地占用税。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根据国民经济和社会发展的需要，国务院可以规定免征或者减征耕地占用税的其他情形，报全国人民代表大会常务委员会备案。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第八条</w:t>
      </w:r>
      <w:r>
        <w:rPr>
          <w:rFonts w:hint="eastAsia" w:ascii="Times New Roman" w:hAnsi="Times New Roman" w:eastAsia="仿宋_GB2312" w:cs="Arial"/>
          <w:b w:val="0"/>
          <w:kern w:val="0"/>
          <w:sz w:val="32"/>
          <w:szCs w:val="32"/>
        </w:rPr>
        <w:t>　依照本法第七条第一款、第二款规定免征或者减征耕地占用税后，纳税人改变原占地用途，不再属于免征或者减征耕地占用税情形的，应当按照当地适用税额补缴耕地占用税。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第九条</w:t>
      </w:r>
      <w:r>
        <w:rPr>
          <w:rFonts w:hint="eastAsia" w:ascii="Times New Roman" w:hAnsi="Times New Roman" w:eastAsia="仿宋_GB2312" w:cs="Arial"/>
          <w:b w:val="0"/>
          <w:kern w:val="0"/>
          <w:sz w:val="32"/>
          <w:szCs w:val="32"/>
        </w:rPr>
        <w:t>　耕地占用税由税务机关负责征收。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第十条</w:t>
      </w:r>
      <w:r>
        <w:rPr>
          <w:rFonts w:hint="eastAsia" w:ascii="Times New Roman" w:hAnsi="Times New Roman" w:eastAsia="仿宋_GB2312" w:cs="Arial"/>
          <w:b w:val="0"/>
          <w:kern w:val="0"/>
          <w:sz w:val="32"/>
          <w:szCs w:val="32"/>
        </w:rPr>
        <w:t>　耕地占用税的纳税义务发生时间为纳税人收到自然资源主管部门办理占用耕地手续的书面通知的当日。纳税人应当自纳税义务发生之日起三十日内申报缴纳耕地占用税。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自然资源主管部门凭耕地占用税完税凭证或者免税凭证和其他有关文件发放建设用地批准书。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第十一条</w:t>
      </w:r>
      <w:r>
        <w:rPr>
          <w:rFonts w:hint="eastAsia" w:ascii="Times New Roman" w:hAnsi="Times New Roman" w:eastAsia="仿宋_GB2312" w:cs="Arial"/>
          <w:b w:val="0"/>
          <w:kern w:val="0"/>
          <w:sz w:val="32"/>
          <w:szCs w:val="32"/>
        </w:rPr>
        <w:t>　纳税人因建设项目施工或者地质勘查临时占用耕地，应当依照本法的规定缴纳耕地占用税。纳税人在批准临时占用耕地期满之日起一年内依法复垦，恢复种植条件的，全额退还已经缴纳的耕地占用税。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第十二条</w:t>
      </w:r>
      <w:r>
        <w:rPr>
          <w:rFonts w:hint="eastAsia" w:ascii="Times New Roman" w:hAnsi="Times New Roman" w:eastAsia="仿宋_GB2312" w:cs="Arial"/>
          <w:b w:val="0"/>
          <w:kern w:val="0"/>
          <w:sz w:val="32"/>
          <w:szCs w:val="32"/>
        </w:rPr>
        <w:t>　占用园地、林地、草地、农田水利用地、养殖水面、渔业水域滩涂以及其他农用地建设建筑物、构筑物或者从事非农业建设的，依照本法的规定缴纳耕地占用税。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占用前款规定的农用地的，适用税额可以适当低于本地区按照本法第四条第二款确定的适用税额，但降低的部分不得超过百分之五十。具体适用税额由省、自治区、直辖市人民政府提出，报同级人民代表大会常务委员会决定，并报全国人民代表大会常务委员会和国务院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仿宋_GB2312" w:cs="Arial"/>
          <w:b w:val="0"/>
          <w:kern w:val="0"/>
          <w:sz w:val="32"/>
          <w:szCs w:val="32"/>
        </w:rPr>
        <w:t>占用本条第一款规定的农用地建设直接为农业生产服务的生产设施的，不缴纳耕地占用税。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第十三条</w:t>
      </w:r>
      <w:r>
        <w:rPr>
          <w:rFonts w:hint="eastAsia" w:ascii="Times New Roman" w:hAnsi="Times New Roman" w:eastAsia="仿宋_GB2312" w:cs="Arial"/>
          <w:b w:val="0"/>
          <w:kern w:val="0"/>
          <w:sz w:val="32"/>
          <w:szCs w:val="32"/>
        </w:rPr>
        <w:t>　税务机关应当与相关部门建立耕地占用税涉税信息共享机制和工作配合机制。县级以上地方人民政府自然资源、农业农村、水利等相关部门应当定期向税务机关提供农用地转用、临时占地等信息，协助税务机关加强耕地占用税征收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税务机关发现纳税人的纳税申报数据资料异常或者纳税人未按照规定期限申报纳税的，可以提请相关部门进行复核，相关部门应当自收到税务机关复核申请之日起三十日内向税务机关出具复核意见。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第十四条</w:t>
      </w:r>
      <w:r>
        <w:rPr>
          <w:rFonts w:hint="eastAsia" w:ascii="Times New Roman" w:hAnsi="Times New Roman" w:eastAsia="仿宋_GB2312" w:cs="Arial"/>
          <w:b w:val="0"/>
          <w:kern w:val="0"/>
          <w:sz w:val="32"/>
          <w:szCs w:val="32"/>
        </w:rPr>
        <w:t>　耕地占用税的征收管理，依照本法和《中华人民共和国税收征收管理法》的规定执行。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第十五条</w:t>
      </w:r>
      <w:r>
        <w:rPr>
          <w:rFonts w:hint="eastAsia" w:ascii="Times New Roman" w:hAnsi="Times New Roman" w:eastAsia="仿宋_GB2312" w:cs="Arial"/>
          <w:b w:val="0"/>
          <w:kern w:val="0"/>
          <w:sz w:val="32"/>
          <w:szCs w:val="32"/>
        </w:rPr>
        <w:t>　纳税人、税务机关及其工作人员违反本法规定的，依照《中华人民共和国税收征收管理法》和有关法律法规的规定追究法律责任。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第十六条</w:t>
      </w:r>
      <w:r>
        <w:rPr>
          <w:rFonts w:hint="eastAsia" w:ascii="Times New Roman" w:hAnsi="Times New Roman" w:eastAsia="仿宋_GB2312" w:cs="Arial"/>
          <w:b w:val="0"/>
          <w:kern w:val="0"/>
          <w:sz w:val="32"/>
          <w:szCs w:val="32"/>
        </w:rPr>
        <w:t>　本法自2019年9月1日起施行。2007年12月1日国务院公布的《中华人民共和国耕地占用税暂行条例》同时废止。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Arial"/>
          <w:b w:val="0"/>
          <w:kern w:val="0"/>
          <w:sz w:val="32"/>
          <w:szCs w:val="32"/>
          <w:lang w:eastAsia="zh-CN"/>
        </w:rPr>
      </w:pPr>
      <w:r>
        <w:rPr>
          <w:rFonts w:hint="eastAsia" w:eastAsia="黑体" w:cs="Arial"/>
          <w:b w:val="0"/>
          <w:kern w:val="0"/>
          <w:sz w:val="32"/>
          <w:szCs w:val="32"/>
          <w:lang w:eastAsia="zh-CN"/>
        </w:rPr>
        <w:t>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lang w:eastAsia="zh-CN"/>
        </w:rPr>
      </w:pPr>
      <w:r>
        <w:rPr>
          <w:rFonts w:hint="eastAsia" w:eastAsia="黑体" w:cs="Arial"/>
          <w:b w:val="0"/>
          <w:kern w:val="0"/>
          <w:sz w:val="32"/>
          <w:szCs w:val="32"/>
          <w:lang w:eastAsia="zh-CN"/>
        </w:rPr>
        <w:t>各省、自治区、直辖市耕地占用税平均税率表</w:t>
      </w:r>
    </w:p>
    <w:tbl>
      <w:tblPr>
        <w:tblStyle w:val="21"/>
        <w:tblW w:w="87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6596"/>
        <w:gridCol w:w="2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134" w:hRule="exact"/>
          <w:jc w:val="center"/>
        </w:trPr>
        <w:tc>
          <w:tcPr>
            <w:tcW w:w="6596" w:type="dxa"/>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vertAlign w:val="baseline"/>
                <w:lang w:eastAsia="zh-CN"/>
              </w:rPr>
            </w:pPr>
            <w:r>
              <w:rPr>
                <w:rFonts w:hint="eastAsia" w:eastAsia="黑体" w:cs="Arial"/>
                <w:b w:val="0"/>
                <w:kern w:val="0"/>
                <w:sz w:val="32"/>
                <w:szCs w:val="32"/>
                <w:vertAlign w:val="baseline"/>
                <w:lang w:eastAsia="zh-CN"/>
              </w:rPr>
              <w:t>省、自治区、直辖市</w:t>
            </w:r>
          </w:p>
        </w:tc>
        <w:tc>
          <w:tcPr>
            <w:tcW w:w="2191" w:type="dxa"/>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eastAsia="黑体" w:cs="Arial"/>
                <w:b w:val="0"/>
                <w:kern w:val="0"/>
                <w:sz w:val="32"/>
                <w:szCs w:val="32"/>
                <w:vertAlign w:val="baseline"/>
                <w:lang w:eastAsia="zh-CN"/>
              </w:rPr>
            </w:pPr>
            <w:r>
              <w:rPr>
                <w:rFonts w:hint="eastAsia" w:eastAsia="黑体" w:cs="Arial"/>
                <w:b w:val="0"/>
                <w:kern w:val="0"/>
                <w:sz w:val="32"/>
                <w:szCs w:val="32"/>
                <w:vertAlign w:val="baseline"/>
                <w:lang w:eastAsia="zh-CN"/>
              </w:rPr>
              <w:t>平均税额</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eastAsia="黑体" w:cs="Arial"/>
                <w:b w:val="0"/>
                <w:kern w:val="0"/>
                <w:sz w:val="32"/>
                <w:szCs w:val="32"/>
                <w:vertAlign w:val="baseline"/>
                <w:lang w:eastAsia="zh-CN"/>
              </w:rPr>
            </w:pPr>
            <w:r>
              <w:rPr>
                <w:rFonts w:hint="eastAsia" w:eastAsia="黑体" w:cs="Arial"/>
                <w:b w:val="0"/>
                <w:kern w:val="0"/>
                <w:sz w:val="32"/>
                <w:szCs w:val="32"/>
                <w:vertAlign w:val="baseline"/>
                <w:lang w:eastAsia="zh-CN"/>
              </w:rPr>
              <w:t>（元</w:t>
            </w:r>
            <w:r>
              <w:rPr>
                <w:rFonts w:hint="eastAsia" w:eastAsia="黑体" w:cs="Arial"/>
                <w:b w:val="0"/>
                <w:kern w:val="0"/>
                <w:sz w:val="32"/>
                <w:szCs w:val="32"/>
                <w:vertAlign w:val="baseline"/>
                <w:lang w:val="en-US" w:eastAsia="zh-CN"/>
              </w:rPr>
              <w:t>/</w:t>
            </w:r>
            <w:r>
              <w:rPr>
                <w:rFonts w:hint="eastAsia" w:eastAsia="黑体" w:cs="Arial"/>
                <w:b w:val="0"/>
                <w:kern w:val="0"/>
                <w:sz w:val="32"/>
                <w:szCs w:val="32"/>
                <w:vertAlign w:val="baseline"/>
                <w:lang w:eastAsia="zh-CN"/>
              </w:rPr>
              <w:t>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67" w:hRule="exact"/>
          <w:jc w:val="center"/>
        </w:trPr>
        <w:tc>
          <w:tcPr>
            <w:tcW w:w="6596" w:type="dxa"/>
            <w:vAlign w:val="center"/>
          </w:tcPr>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仿宋_GB2312" w:cs="Arial"/>
                <w:b w:val="0"/>
                <w:kern w:val="0"/>
                <w:sz w:val="32"/>
                <w:szCs w:val="32"/>
                <w:vertAlign w:val="baseline"/>
                <w:lang w:eastAsia="zh-CN"/>
              </w:rPr>
            </w:pPr>
            <w:r>
              <w:rPr>
                <w:rFonts w:hint="eastAsia" w:cs="Arial"/>
                <w:b w:val="0"/>
                <w:kern w:val="0"/>
                <w:sz w:val="32"/>
                <w:szCs w:val="32"/>
                <w:vertAlign w:val="baseline"/>
                <w:lang w:eastAsia="zh-CN"/>
              </w:rPr>
              <w:t>上海</w:t>
            </w:r>
          </w:p>
        </w:tc>
        <w:tc>
          <w:tcPr>
            <w:tcW w:w="2191" w:type="dxa"/>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仿宋_GB2312" w:cs="Arial"/>
                <w:b w:val="0"/>
                <w:kern w:val="0"/>
                <w:sz w:val="32"/>
                <w:szCs w:val="32"/>
                <w:vertAlign w:val="baseline"/>
                <w:lang w:val="en-US" w:eastAsia="zh-CN"/>
              </w:rPr>
            </w:pPr>
            <w:r>
              <w:rPr>
                <w:rFonts w:hint="eastAsia" w:cs="Arial"/>
                <w:b w:val="0"/>
                <w:kern w:val="0"/>
                <w:sz w:val="32"/>
                <w:szCs w:val="32"/>
                <w:vertAlign w:val="baseline"/>
                <w:lang w:val="en-US"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67" w:hRule="exact"/>
          <w:jc w:val="center"/>
        </w:trPr>
        <w:tc>
          <w:tcPr>
            <w:tcW w:w="6596" w:type="dxa"/>
            <w:vAlign w:val="center"/>
          </w:tcPr>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仿宋_GB2312" w:cs="Arial"/>
                <w:b w:val="0"/>
                <w:kern w:val="0"/>
                <w:sz w:val="32"/>
                <w:szCs w:val="32"/>
                <w:vertAlign w:val="baseline"/>
                <w:lang w:eastAsia="zh-CN"/>
              </w:rPr>
            </w:pPr>
            <w:r>
              <w:rPr>
                <w:rFonts w:hint="eastAsia" w:cs="Arial"/>
                <w:b w:val="0"/>
                <w:kern w:val="0"/>
                <w:sz w:val="32"/>
                <w:szCs w:val="32"/>
                <w:vertAlign w:val="baseline"/>
                <w:lang w:eastAsia="zh-CN"/>
              </w:rPr>
              <w:t>北京</w:t>
            </w:r>
          </w:p>
        </w:tc>
        <w:tc>
          <w:tcPr>
            <w:tcW w:w="2191" w:type="dxa"/>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仿宋_GB2312" w:cs="Arial"/>
                <w:b w:val="0"/>
                <w:kern w:val="0"/>
                <w:sz w:val="32"/>
                <w:szCs w:val="32"/>
                <w:vertAlign w:val="baseline"/>
                <w:lang w:val="en-US" w:eastAsia="zh-CN"/>
              </w:rPr>
            </w:pPr>
            <w:r>
              <w:rPr>
                <w:rFonts w:hint="eastAsia" w:cs="Arial"/>
                <w:b w:val="0"/>
                <w:kern w:val="0"/>
                <w:sz w:val="32"/>
                <w:szCs w:val="32"/>
                <w:vertAlign w:val="baseline"/>
                <w:lang w:val="en-US" w:eastAsia="zh-C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67" w:hRule="exact"/>
          <w:jc w:val="center"/>
        </w:trPr>
        <w:tc>
          <w:tcPr>
            <w:tcW w:w="6596" w:type="dxa"/>
            <w:vAlign w:val="center"/>
          </w:tcPr>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仿宋_GB2312" w:cs="Arial"/>
                <w:b w:val="0"/>
                <w:kern w:val="0"/>
                <w:sz w:val="32"/>
                <w:szCs w:val="32"/>
                <w:vertAlign w:val="baseline"/>
                <w:lang w:eastAsia="zh-CN"/>
              </w:rPr>
            </w:pPr>
            <w:r>
              <w:rPr>
                <w:rFonts w:hint="eastAsia" w:cs="Arial"/>
                <w:b w:val="0"/>
                <w:kern w:val="0"/>
                <w:sz w:val="32"/>
                <w:szCs w:val="32"/>
                <w:vertAlign w:val="baseline"/>
                <w:lang w:eastAsia="zh-CN"/>
              </w:rPr>
              <w:t>天津</w:t>
            </w:r>
          </w:p>
        </w:tc>
        <w:tc>
          <w:tcPr>
            <w:tcW w:w="2191" w:type="dxa"/>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仿宋_GB2312" w:cs="Arial"/>
                <w:b w:val="0"/>
                <w:kern w:val="0"/>
                <w:sz w:val="32"/>
                <w:szCs w:val="32"/>
                <w:vertAlign w:val="baseline"/>
                <w:lang w:val="en-US" w:eastAsia="zh-CN"/>
              </w:rPr>
            </w:pPr>
            <w:r>
              <w:rPr>
                <w:rFonts w:hint="eastAsia" w:cs="Arial"/>
                <w:b w:val="0"/>
                <w:kern w:val="0"/>
                <w:sz w:val="32"/>
                <w:szCs w:val="32"/>
                <w:vertAlign w:val="baseline"/>
                <w:lang w:val="en-US" w:eastAsia="zh-C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67" w:hRule="exact"/>
          <w:jc w:val="center"/>
        </w:trPr>
        <w:tc>
          <w:tcPr>
            <w:tcW w:w="6596" w:type="dxa"/>
            <w:vAlign w:val="center"/>
          </w:tcPr>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仿宋_GB2312" w:cs="Arial"/>
                <w:b w:val="0"/>
                <w:kern w:val="0"/>
                <w:sz w:val="32"/>
                <w:szCs w:val="32"/>
                <w:vertAlign w:val="baseline"/>
                <w:lang w:eastAsia="zh-CN"/>
              </w:rPr>
            </w:pPr>
            <w:r>
              <w:rPr>
                <w:rFonts w:hint="eastAsia" w:cs="Arial"/>
                <w:b w:val="0"/>
                <w:kern w:val="0"/>
                <w:sz w:val="32"/>
                <w:szCs w:val="32"/>
                <w:vertAlign w:val="baseline"/>
                <w:lang w:eastAsia="zh-CN"/>
              </w:rPr>
              <w:t>江苏、浙江、福建、广东</w:t>
            </w:r>
          </w:p>
        </w:tc>
        <w:tc>
          <w:tcPr>
            <w:tcW w:w="2191" w:type="dxa"/>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仿宋_GB2312" w:cs="Arial"/>
                <w:b w:val="0"/>
                <w:kern w:val="0"/>
                <w:sz w:val="32"/>
                <w:szCs w:val="32"/>
                <w:vertAlign w:val="baseline"/>
                <w:lang w:val="en-US" w:eastAsia="zh-CN"/>
              </w:rPr>
            </w:pPr>
            <w:r>
              <w:rPr>
                <w:rFonts w:hint="eastAsia" w:cs="Arial"/>
                <w:b w:val="0"/>
                <w:kern w:val="0"/>
                <w:sz w:val="32"/>
                <w:szCs w:val="32"/>
                <w:vertAlign w:val="baseline"/>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67" w:hRule="exact"/>
          <w:jc w:val="center"/>
        </w:trPr>
        <w:tc>
          <w:tcPr>
            <w:tcW w:w="6596" w:type="dxa"/>
            <w:vAlign w:val="center"/>
          </w:tcPr>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仿宋_GB2312" w:cs="Arial"/>
                <w:b w:val="0"/>
                <w:kern w:val="0"/>
                <w:sz w:val="32"/>
                <w:szCs w:val="32"/>
                <w:vertAlign w:val="baseline"/>
                <w:lang w:eastAsia="zh-CN"/>
              </w:rPr>
            </w:pPr>
            <w:r>
              <w:rPr>
                <w:rFonts w:hint="eastAsia" w:cs="Arial"/>
                <w:b w:val="0"/>
                <w:kern w:val="0"/>
                <w:sz w:val="32"/>
                <w:szCs w:val="32"/>
                <w:vertAlign w:val="baseline"/>
                <w:lang w:eastAsia="zh-CN"/>
              </w:rPr>
              <w:t>辽宁、湖北、湖南</w:t>
            </w:r>
          </w:p>
        </w:tc>
        <w:tc>
          <w:tcPr>
            <w:tcW w:w="2191" w:type="dxa"/>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仿宋_GB2312" w:cs="Arial"/>
                <w:b w:val="0"/>
                <w:kern w:val="0"/>
                <w:sz w:val="32"/>
                <w:szCs w:val="32"/>
                <w:vertAlign w:val="baseline"/>
                <w:lang w:val="en-US" w:eastAsia="zh-CN"/>
              </w:rPr>
            </w:pPr>
            <w:r>
              <w:rPr>
                <w:rFonts w:hint="eastAsia" w:cs="Arial"/>
                <w:b w:val="0"/>
                <w:kern w:val="0"/>
                <w:sz w:val="32"/>
                <w:szCs w:val="32"/>
                <w:vertAlign w:val="baseline"/>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67" w:hRule="exact"/>
          <w:jc w:val="center"/>
        </w:trPr>
        <w:tc>
          <w:tcPr>
            <w:tcW w:w="6596" w:type="dxa"/>
            <w:vAlign w:val="center"/>
          </w:tcPr>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仿宋_GB2312" w:cs="Arial"/>
                <w:b w:val="0"/>
                <w:kern w:val="0"/>
                <w:sz w:val="32"/>
                <w:szCs w:val="32"/>
                <w:vertAlign w:val="baseline"/>
                <w:lang w:eastAsia="zh-CN"/>
              </w:rPr>
            </w:pPr>
            <w:r>
              <w:rPr>
                <w:rFonts w:hint="eastAsia" w:cs="Arial"/>
                <w:b w:val="0"/>
                <w:kern w:val="0"/>
                <w:sz w:val="32"/>
                <w:szCs w:val="32"/>
                <w:vertAlign w:val="baseline"/>
                <w:lang w:eastAsia="zh-CN"/>
              </w:rPr>
              <w:t>河北、安徽、江西、山东、河南、重庆、四川</w:t>
            </w:r>
          </w:p>
        </w:tc>
        <w:tc>
          <w:tcPr>
            <w:tcW w:w="2191" w:type="dxa"/>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仿宋_GB2312" w:cs="Arial"/>
                <w:b w:val="0"/>
                <w:kern w:val="0"/>
                <w:sz w:val="32"/>
                <w:szCs w:val="32"/>
                <w:vertAlign w:val="baseline"/>
                <w:lang w:val="en-US" w:eastAsia="zh-CN"/>
              </w:rPr>
            </w:pPr>
            <w:r>
              <w:rPr>
                <w:rFonts w:hint="eastAsia" w:cs="Arial"/>
                <w:b w:val="0"/>
                <w:kern w:val="0"/>
                <w:sz w:val="32"/>
                <w:szCs w:val="32"/>
                <w:vertAlign w:val="baseline"/>
                <w:lang w:val="en-US" w:eastAsia="zh-CN"/>
              </w:rPr>
              <w:t>22.5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67" w:hRule="exact"/>
          <w:jc w:val="center"/>
        </w:trPr>
        <w:tc>
          <w:tcPr>
            <w:tcW w:w="6596" w:type="dxa"/>
            <w:vAlign w:val="center"/>
          </w:tcPr>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仿宋_GB2312" w:cs="Arial"/>
                <w:b w:val="0"/>
                <w:kern w:val="0"/>
                <w:sz w:val="32"/>
                <w:szCs w:val="32"/>
                <w:vertAlign w:val="baseline"/>
                <w:lang w:eastAsia="zh-CN"/>
              </w:rPr>
            </w:pPr>
            <w:r>
              <w:rPr>
                <w:rFonts w:hint="eastAsia" w:cs="Arial"/>
                <w:b w:val="0"/>
                <w:kern w:val="0"/>
                <w:sz w:val="32"/>
                <w:szCs w:val="32"/>
                <w:vertAlign w:val="baseline"/>
                <w:lang w:eastAsia="zh-CN"/>
              </w:rPr>
              <w:t>广西、海南、贵州、云南、陕西</w:t>
            </w:r>
          </w:p>
        </w:tc>
        <w:tc>
          <w:tcPr>
            <w:tcW w:w="2191" w:type="dxa"/>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仿宋_GB2312" w:cs="Arial"/>
                <w:b w:val="0"/>
                <w:kern w:val="0"/>
                <w:sz w:val="32"/>
                <w:szCs w:val="32"/>
                <w:vertAlign w:val="baseline"/>
                <w:lang w:val="en-US" w:eastAsia="zh-CN"/>
              </w:rPr>
            </w:pPr>
            <w:r>
              <w:rPr>
                <w:rFonts w:hint="eastAsia" w:cs="Arial"/>
                <w:b w:val="0"/>
                <w:kern w:val="0"/>
                <w:sz w:val="32"/>
                <w:szCs w:val="32"/>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67" w:hRule="exact"/>
          <w:jc w:val="center"/>
        </w:trPr>
        <w:tc>
          <w:tcPr>
            <w:tcW w:w="6596" w:type="dxa"/>
            <w:vAlign w:val="center"/>
          </w:tcPr>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cs="Arial"/>
                <w:b w:val="0"/>
                <w:kern w:val="0"/>
                <w:sz w:val="32"/>
                <w:szCs w:val="32"/>
                <w:vertAlign w:val="baseline"/>
                <w:lang w:eastAsia="zh-CN"/>
              </w:rPr>
            </w:pPr>
            <w:r>
              <w:rPr>
                <w:rFonts w:hint="eastAsia" w:cs="Arial"/>
                <w:b w:val="0"/>
                <w:kern w:val="0"/>
                <w:sz w:val="32"/>
                <w:szCs w:val="32"/>
                <w:vertAlign w:val="baseline"/>
                <w:lang w:eastAsia="zh-CN"/>
              </w:rPr>
              <w:t>山西、吉林、黑龙江</w:t>
            </w:r>
          </w:p>
        </w:tc>
        <w:tc>
          <w:tcPr>
            <w:tcW w:w="2191" w:type="dxa"/>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cs="Arial"/>
                <w:b w:val="0"/>
                <w:kern w:val="0"/>
                <w:sz w:val="32"/>
                <w:szCs w:val="32"/>
                <w:vertAlign w:val="baseline"/>
                <w:lang w:val="en-US" w:eastAsia="zh-CN"/>
              </w:rPr>
            </w:pPr>
            <w:r>
              <w:rPr>
                <w:rFonts w:hint="eastAsia" w:cs="Arial"/>
                <w:b w:val="0"/>
                <w:kern w:val="0"/>
                <w:sz w:val="32"/>
                <w:szCs w:val="32"/>
                <w:vertAlign w:val="baseline"/>
                <w:lang w:val="en-US" w:eastAsia="zh-CN"/>
              </w:rPr>
              <w:t>17.5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67" w:hRule="exact"/>
          <w:jc w:val="center"/>
        </w:trPr>
        <w:tc>
          <w:tcPr>
            <w:tcW w:w="6596" w:type="dxa"/>
            <w:vAlign w:val="center"/>
          </w:tcPr>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cs="Arial"/>
                <w:b w:val="0"/>
                <w:kern w:val="0"/>
                <w:sz w:val="32"/>
                <w:szCs w:val="32"/>
                <w:vertAlign w:val="baseline"/>
                <w:lang w:eastAsia="zh-CN"/>
              </w:rPr>
            </w:pPr>
            <w:r>
              <w:rPr>
                <w:rFonts w:hint="eastAsia" w:cs="Arial"/>
                <w:b w:val="0"/>
                <w:kern w:val="0"/>
                <w:sz w:val="32"/>
                <w:szCs w:val="32"/>
                <w:vertAlign w:val="baseline"/>
                <w:lang w:eastAsia="zh-CN"/>
              </w:rPr>
              <w:t>内蒙古、西藏、甘肃、青海、宁夏、新疆</w:t>
            </w:r>
          </w:p>
        </w:tc>
        <w:tc>
          <w:tcPr>
            <w:tcW w:w="2191" w:type="dxa"/>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cs="Arial"/>
                <w:b w:val="0"/>
                <w:kern w:val="0"/>
                <w:sz w:val="32"/>
                <w:szCs w:val="32"/>
                <w:vertAlign w:val="baseline"/>
                <w:lang w:val="en-US" w:eastAsia="zh-CN"/>
              </w:rPr>
            </w:pPr>
            <w:r>
              <w:rPr>
                <w:rFonts w:hint="eastAsia" w:cs="Arial"/>
                <w:b w:val="0"/>
                <w:kern w:val="0"/>
                <w:sz w:val="32"/>
                <w:szCs w:val="32"/>
                <w:vertAlign w:val="baseline"/>
                <w:lang w:val="en-US" w:eastAsia="zh-CN"/>
              </w:rPr>
              <w:t>12.5</w:t>
            </w:r>
          </w:p>
        </w:tc>
      </w:tr>
    </w:tbl>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bookmarkStart w:id="0" w:name="_GoBack"/>
      <w:bookmarkEnd w:id="0"/>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3"/>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44BC0EEC"/>
    <w:rsid w:val="482A39F4"/>
    <w:rsid w:val="56755F92"/>
    <w:rsid w:val="5EA87CFA"/>
    <w:rsid w:val="653A70E2"/>
    <w:rsid w:val="679D13CD"/>
    <w:rsid w:val="6C1E17DE"/>
    <w:rsid w:val="6F2E17F1"/>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2"/>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1"/>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5"/>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3"/>
    <w:qFormat/>
    <w:uiPriority w:val="99"/>
    <w:pPr>
      <w:tabs>
        <w:tab w:val="center" w:pos="4153"/>
        <w:tab w:val="right" w:pos="8306"/>
      </w:tabs>
      <w:snapToGrid w:val="0"/>
      <w:jc w:val="left"/>
    </w:pPr>
    <w:rPr>
      <w:sz w:val="18"/>
      <w:szCs w:val="18"/>
    </w:rPr>
  </w:style>
  <w:style w:type="paragraph" w:styleId="9">
    <w:name w:val="header"/>
    <w:basedOn w:val="1"/>
    <w:link w:val="24"/>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7"/>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9"/>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table" w:styleId="21">
    <w:name w:val="Table Grid"/>
    <w:basedOn w:val="2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2">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3">
    <w:name w:val="1.1"/>
    <w:basedOn w:val="4"/>
    <w:link w:val="30"/>
    <w:qFormat/>
    <w:uiPriority w:val="0"/>
    <w:pPr>
      <w:numPr>
        <w:ilvl w:val="1"/>
        <w:numId w:val="1"/>
      </w:numPr>
      <w:ind w:firstLine="0"/>
      <w:jc w:val="left"/>
    </w:pPr>
    <w:rPr>
      <w:rFonts w:ascii="Calibri" w:hAnsi="Calibri" w:eastAsia="宋体"/>
      <w:sz w:val="30"/>
    </w:rPr>
  </w:style>
  <w:style w:type="character" w:customStyle="1" w:styleId="24">
    <w:name w:val="页眉 Char"/>
    <w:link w:val="9"/>
    <w:qFormat/>
    <w:uiPriority w:val="99"/>
    <w:rPr>
      <w:rFonts w:eastAsia="仿宋_GB2312"/>
      <w:kern w:val="2"/>
      <w:sz w:val="18"/>
      <w:szCs w:val="18"/>
    </w:rPr>
  </w:style>
  <w:style w:type="character" w:customStyle="1" w:styleId="25">
    <w:name w:val="纯文本 Char"/>
    <w:link w:val="6"/>
    <w:qFormat/>
    <w:uiPriority w:val="99"/>
    <w:rPr>
      <w:rFonts w:ascii="宋体" w:hAnsi="Courier New" w:cs="Courier New"/>
      <w:kern w:val="2"/>
      <w:sz w:val="21"/>
      <w:szCs w:val="21"/>
    </w:rPr>
  </w:style>
  <w:style w:type="character" w:customStyle="1" w:styleId="26">
    <w:name w:val="纯文本 Char1"/>
    <w:qFormat/>
    <w:uiPriority w:val="0"/>
    <w:rPr>
      <w:rFonts w:ascii="宋体" w:hAnsi="Courier New" w:cs="Courier New"/>
      <w:kern w:val="2"/>
      <w:sz w:val="21"/>
      <w:szCs w:val="21"/>
    </w:rPr>
  </w:style>
  <w:style w:type="character" w:customStyle="1" w:styleId="27">
    <w:name w:val="副标题 Char"/>
    <w:link w:val="11"/>
    <w:qFormat/>
    <w:uiPriority w:val="0"/>
    <w:rPr>
      <w:rFonts w:ascii="Cambria" w:hAnsi="Cambria" w:cs="Times New Roman"/>
      <w:b/>
      <w:bCs/>
      <w:kern w:val="28"/>
      <w:sz w:val="32"/>
      <w:szCs w:val="32"/>
    </w:rPr>
  </w:style>
  <w:style w:type="character" w:customStyle="1" w:styleId="28">
    <w:name w:val="标题 1 Char"/>
    <w:link w:val="2"/>
    <w:qFormat/>
    <w:uiPriority w:val="0"/>
    <w:rPr>
      <w:rFonts w:eastAsia="仿宋_GB2312"/>
      <w:b/>
      <w:bCs/>
      <w:kern w:val="44"/>
      <w:sz w:val="44"/>
      <w:szCs w:val="44"/>
    </w:rPr>
  </w:style>
  <w:style w:type="character" w:customStyle="1" w:styleId="29">
    <w:name w:val="标题 Char"/>
    <w:link w:val="13"/>
    <w:qFormat/>
    <w:uiPriority w:val="0"/>
    <w:rPr>
      <w:rFonts w:ascii="Cambria" w:hAnsi="Cambria" w:cs="Times New Roman"/>
      <w:b/>
      <w:bCs/>
      <w:kern w:val="2"/>
      <w:sz w:val="32"/>
      <w:szCs w:val="32"/>
    </w:rPr>
  </w:style>
  <w:style w:type="character" w:customStyle="1" w:styleId="30">
    <w:name w:val="1.1 Char"/>
    <w:link w:val="23"/>
    <w:qFormat/>
    <w:uiPriority w:val="0"/>
    <w:rPr>
      <w:rFonts w:ascii="Calibri" w:hAnsi="Calibri"/>
      <w:b/>
      <w:bCs/>
      <w:kern w:val="2"/>
      <w:sz w:val="30"/>
      <w:szCs w:val="32"/>
    </w:rPr>
  </w:style>
  <w:style w:type="character" w:customStyle="1" w:styleId="31">
    <w:name w:val="标题 3 Char"/>
    <w:link w:val="4"/>
    <w:semiHidden/>
    <w:qFormat/>
    <w:uiPriority w:val="0"/>
    <w:rPr>
      <w:rFonts w:eastAsia="仿宋_GB2312"/>
      <w:b/>
      <w:bCs/>
      <w:kern w:val="2"/>
      <w:sz w:val="32"/>
      <w:szCs w:val="32"/>
    </w:rPr>
  </w:style>
  <w:style w:type="character" w:customStyle="1" w:styleId="32">
    <w:name w:val="标题 2 Char"/>
    <w:link w:val="3"/>
    <w:qFormat/>
    <w:uiPriority w:val="9"/>
    <w:rPr>
      <w:rFonts w:ascii="Cambria" w:hAnsi="Cambria"/>
      <w:b/>
      <w:bCs/>
      <w:kern w:val="2"/>
      <w:sz w:val="32"/>
      <w:szCs w:val="32"/>
    </w:rPr>
  </w:style>
  <w:style w:type="character" w:customStyle="1" w:styleId="33">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31</TotalTime>
  <ScaleCrop>false</ScaleCrop>
  <LinksUpToDate>false</LinksUpToDate>
  <CharactersWithSpaces>14441</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Administrator</cp:lastModifiedBy>
  <cp:lastPrinted>2016-11-15T16:26:00Z</cp:lastPrinted>
  <dcterms:modified xsi:type="dcterms:W3CDTF">2019-02-26T03:45:17Z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