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b/>
          <w:bCs/>
          <w:kern w:val="0"/>
          <w:sz w:val="44"/>
          <w:szCs w:val="44"/>
        </w:rPr>
      </w:pPr>
      <w:r>
        <w:rPr>
          <w:rFonts w:hint="eastAsia" w:ascii="Times New Roman" w:hAnsi="Times New Roman" w:eastAsia="宋体" w:cs="宋体"/>
          <w:b w:val="0"/>
          <w:bCs w:val="0"/>
          <w:kern w:val="0"/>
          <w:sz w:val="44"/>
          <w:szCs w:val="44"/>
        </w:rPr>
        <w:t>中华人民共和</w:t>
      </w:r>
      <w:bookmarkStart w:name="_GoBack" w:id="0"/>
      <w:bookmarkEnd w:id="0"/>
      <w:r>
        <w:rPr>
          <w:rFonts w:hint="eastAsia" w:ascii="Times New Roman" w:hAnsi="Times New Roman" w:eastAsia="宋体" w:cs="宋体"/>
          <w:b w:val="0"/>
          <w:bCs w:val="0"/>
          <w:kern w:val="0"/>
          <w:sz w:val="44"/>
          <w:szCs w:val="44"/>
        </w:rPr>
        <w:t>国航道法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（2014年12月28日第十二届全国人民代表大会常务委员会第十二次会议通过　根据2016年7月2日第十二届全国人民代表大会常务委员会第二十一次会议《关于修改&lt;中华人民共和国节约能源法&gt;等六部法律的决定》修正）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b/>
          <w:bCs/>
          <w:kern w:val="0"/>
          <w:szCs w:val="32"/>
        </w:rPr>
      </w:pPr>
      <w:r>
        <w:rPr>
          <w:rFonts w:hint="eastAsia" w:ascii="Times New Roman" w:hAnsi="Times New Roman" w:eastAsia="楷体_GB2312" w:cs="楷体_GB2312"/>
          <w:b w:val="0"/>
          <w:bCs w:val="0"/>
          <w:kern w:val="0"/>
          <w:szCs w:val="32"/>
        </w:rPr>
        <w:t>目</w:t>
      </w:r>
      <w:r>
        <w:rPr>
          <w:rFonts w:hint="eastAsia" w:ascii="Times New Roman" w:hAnsi="Times New Roman" w:eastAsia="楷体_GB2312" w:cs="楷体_GB2312"/>
          <w:b w:val="0"/>
          <w:bCs w:val="0"/>
          <w:kern w:val="0"/>
          <w:szCs w:val="32"/>
          <w:lang w:eastAsia="zh-CN"/>
        </w:rPr>
        <w:t>　　</w:t>
      </w:r>
      <w:r>
        <w:rPr>
          <w:rFonts w:hint="eastAsia" w:ascii="Times New Roman" w:hAnsi="Times New Roman" w:eastAsia="楷体_GB2312" w:cs="楷体_GB2312"/>
          <w:b w:val="0"/>
          <w:bCs w:val="0"/>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航道规划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航道建设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航道养护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航道保护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b w:val="0"/>
          <w:bCs w:val="0"/>
          <w:kern w:val="0"/>
          <w:szCs w:val="32"/>
        </w:rPr>
      </w:pPr>
      <w:r>
        <w:rPr>
          <w:rFonts w:hint="eastAsia" w:ascii="Times New Roman" w:hAnsi="Times New Roman" w:eastAsia="黑体" w:cs="黑体"/>
          <w:b w:val="0"/>
          <w:bCs w:val="0"/>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为了规范和加强航道的规划、建设、养护、保护，保障航道畅通和通航安全，促进水路运输发展，制定本法。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本法所称航道，是指中华人民共和国领域内的江河、湖泊等内陆水域中可以供船舶通航的通道，以及内海、领海中经建设、养护可以供船舶通航的通道。航道包括通航建筑物、航道整治建筑物和航标等航道设施。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规划、建设、养护、保护航道，应当根据经济社会发展和国防建设的需要，遵循综合利用和保护水资源、保护生态环境的原则，服从综合交通运输体系建设和防洪总体安排，统筹兼顾供水、灌溉、发电、渔业等需求，发挥水资源的综合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　　第</w:t>
      </w:r>
      <w:r>
        <w:rPr>
          <w:rFonts w:hint="eastAsia" w:ascii="Times New Roman" w:hAnsi="Times New Roman" w:eastAsia="黑体" w:cs="黑体"/>
          <w:kern w:val="0"/>
          <w:szCs w:val="32"/>
        </w:rPr>
        <w:t>四条</w:t>
      </w:r>
      <w:r>
        <w:rPr>
          <w:rFonts w:hint="eastAsia" w:ascii="Times New Roman" w:hAnsi="Times New Roman" w:cs="Arial"/>
          <w:kern w:val="0"/>
          <w:szCs w:val="32"/>
        </w:rPr>
        <w:t>　国务院和有关县级以上地方人民政府应当加强对航道工作的领导，组织、协调、督促有关部门采取措施，保持和改善航道通航条件，保护航道安全，维护航道网络完整和畅通。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国务院和有关县级以上地方人民政府应当根据经济社会发展水平和航道建设、养护的需要，在财政预算中合理安排航道建设和养护资金。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国务院交通运输主管部门主管全国航道管理工作，并按照国务院的规定直接管理跨省、自治区、直辖市的重要干线航道和国际、国境河流航道等重要航道。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县级以上地方人民政府交通运输主管部门按照省、自治区、直辖市人民政府的规定主管所辖航道的管理工作。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国务院交通运输主管部门按照国务院规定设置的负责航道管理的机构和县级以上地方人民政府负责航道管理的部门或者机构（以下统称负责航道管理的部门），承担本法规定的航道管理工作。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航道规划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航道规划分为全国航道规划、流域航道规划、区域航道规划和省、自治区、直辖市航道规划。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航道规划应当包括航道的功能定位、规划目标、发展规划技术等级、规划实施步骤以及保障措施等内容。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航道规划应当符合依法制定的流域、区域综合规划，符合水资源规划、防洪规划和海洋功能区划，并与涉及水资源综合利用的相关专业规划以及依法制定的城乡规划、环境保护规划等其他相关规划和军事设施保护区划相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航道应当划分技术等级。航道技术等级包括现状技术等级和发展规划技术等级。航道发展规划技术等级根据相关自然条件以及防洪、供水、水资源保护、生态环境保护要求和航运发展需求等因素评定。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全国航道规划由国务院交通运输主管部门会同国务院发展改革部门、国务院水行政主管部门等部门编制，报国务院批准公布。流域航道规划、区域航道规划由国务院交通运输主管部门编制并公布。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省、自治区、直辖市航道规划由省、自治区、直辖市人民政府交通运输主管部门会同同级发展改革部门、水行政主管部门等部门编制，报省、自治区、直辖市人民政府会同国务院交通运输主管部门批准公布。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编制航道规划应当征求有关部门和有关军事机关的意见，并依法进行环境影响评价。涉及海域、重要渔业水域的，应当有同级海洋主管部门、渔业行政主管部门参加。编制全国航道规划和流域航道规划、区域航道规划应当征求相关省、自治区、直辖市人民政府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流域航道规划、区域航道规划和省、自治区、直辖市航道规划应当符合全国航道规划。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依法制定并公布的航道规划应当依照执行；航道规划确需修改的，依照规划编制程序办理。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航道建设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新建航道以及为改善航道通航条件而进行的航道工程建设，应当遵守法律、行政法规关于建设工程质量管理、安全管理和生态环境保护的规定，符合航道规划，执行有关的国家标准、行业标准和技术规范，依法办理相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航道建设单位应当根据航道建设工程的技术要求，依法通过招标等方式选择具有相应资质的勘察、设计、施工和监理单位进行工程建设，对工程质量和安全进行监督检查，并对工程质量和安全负责。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从事航道工程建设的勘察、设计、施工和监理单位，应当依照法律、行政法规的规定取得相应的资质，并在其资质等级许可的范围内从事航道工程建设活动，依法对勘察、设计、施工、监理的质量和安全负责。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有关县级以上人民政府交通运输主管部门应当加强对航道建设工程质量和安全的监督检查，保障航道建设工程的质量和安全。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航道建设工程竣工后，应当按照国家有关规定组织竣工验收，经验收合格方可正式投入使用。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航道建设单位应当自航道建设工程竣工验收合格之日起六十日内，将竣工测量图报送负责航道管理的部门。沿海航道的竣工测量图还应当报送海军航海保证部门。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进行航道工程建设应当维护河势稳定，符合防洪要求，不得危及依法建设的其他工程或者设施的安全。因航道工程建设损坏依法建设的其他工程或者设施的，航道建设单位应当予以修复或者依法赔偿。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航道养护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国务院交通运输主管部门应当制定航道养护技术规范。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负责航道管理的部门应当按照航道养护技术规范进行航道养护，保证航道处于良好通航技术状态。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负责航道管理的部门应当根据航道现状技术等级或者航道自然条件确定并公布航道维护尺度和内河航道图。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航道维护尺度是指航道在不同水位期应当保持的水深、宽度、弯曲半径等技术要求。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负责航道管理的部门应当按照国务院交通运输主管部门的规定对航道进行巡查，发现航道实际尺度达不到航道维护尺度或者有其他不符合保证船舶通航安全要求的情形，应当进行维护，及时发布航道通告并通报海事管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海事管理机构发现航道损毁等危及通航安全的情形，应当及时通报负责航道管理的部门，并采取必要的安全保障措施。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其他单位和人员发现航道损毁等危及通航安全的情形，应当及时报告负责航道管理的部门或者海事管理机构。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负责航道管理的部门应当合理安排航道养护作业，避免限制通航的集中作业和在通航高峰期作业。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负责航道管理的部门进行航道疏浚、清障等影响通航的航道养护活动，或者确需限制通航的养护作业的，应当设置明显的作业标志，采取必要的安全措施，并提前通报海事管理机构，保证过往船舶通行以及依法建设的工程设施的安全。养护作业结束后，应当及时清除影响航道通航条件的作业标志及其他残留物，恢复正常通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进行航道养护作业可能造成航道堵塞的，有关负责航道管理的部门应当会同海事管理机构事先通报相关区域负责航道管理的部门和海事管理机构，共同制定船舶疏导方案，并向社会公告。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因自然灾害、事故灾难等突发事件造成航道损坏、阻塞的，负责航道管理的部门应当按照突发事件应急预案尽快修复抢通；必要时由县级以上人民政府组织尽快修复抢通。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船舶、设施或者其他物体在航道水域中沉没，影响航道畅通和通航安全的，其所有人或者经营人应当立即报告负责航道管理的部门和海事管理机构，按照规定自行或者委托负责航道管理的部门或者海事管理机构代为设置标志，并应当在海事管理机构限定的时间内打捞清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航标的设置、养护、保护和管理，依照有关法律、行政法规和国家标准或者行业标准的规定执行。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部队执行任务、战备训练需要使用航道的，负责航道管理的部门应当给予必要的支持和协助。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航道保护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新建、改建、扩建（以下统称建设）跨越、穿越航道的桥梁、隧道、管道、缆线等建筑物、构筑物，应当符合该航道发展规划技术等级对通航净高、净宽、埋设深度等航道通航条件的要求。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在通航河流上建设永久性拦河闸坝，建设单位应当按照航道发展规划技术等级建设通航建筑物。通航建筑物应当与主体工程同步规划、同步设计、同步建设、同步验收、同步投入使用。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闸坝建设期间难以维持航道原有通航能力的，建设单位应当采取修建临时航道、安排翻坝转运等补救措施，所需费用由建设单位承担。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在不通航河流上建设闸坝后可以通航的，闸坝建设单位应当同步建设通航建筑物或者预留通航建筑物位置，通航建筑物建设费用除国家另有规定外，由交通运输主管部门承担。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通航建筑物的运行应当适应船舶通行需要，运行方案应当经负责航道管理的部门同意并公布。通航建筑物的建设单位或者管理单位应当按照规定维护保养通航建筑物，保持其正常运行。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在航道保护范围内建设临河、临湖、临海建筑物或者构筑物，应当符合该航道通航条件的要求。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航道保护范围由县级以上地方人民政府交通运输主管部门会同水行政主管部门或者流域管理机构、国土资源主管部门根据航道发展规划技术等级和航道保护实际需要划定，报本级人民政府批准公布。国务院交通运输主管部门直接管理的航道的航道保护范围，由国务院交通运输主管部门会同国务院水行政主管部门、国务院国土资源主管部门和有关省、自治区、直辖市人民政府划定公布。航道保护范围涉及海域、重要渔业水域的，还应当分别会同同级海洋主管部门、渔业行政主管部门划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建设本法第二十四条、第二十五条第一款、第二十六条第一款规定的工程（以下统称与航道有关的工程），除依照法律、行政法规或者国务院规定进行的防洪、供水等特殊工程外，不得因工程建设降低航道通航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建设与航道有关的工程，建设单位应当在工程可行性研究阶段就建设项目对航道通航条件的影响作出评价，并报送有审核权的交通运输主管部门或者航道管理机构审核，但下列工程除外: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（一）临河、临湖的中小河流治理工程；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（二）不通航河流上建设的水工程；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（三）现有水工程的水毁修复、除险加固、不涉及通航建筑物和不改变航道原通航条件的更新改造等不影响航道通航条件的工程。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建设单位报送的航道通航条件影响评价材料不符合本法规定的，可以进行补充或者修改，重新报送审核部门审核。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进行航道通航条件影响评价或者经审核部门审核认为建设项目不符合本法规定的，建设单位不得建设。政府投资项目未进行航道通航条件影响评价或者经审核部门审核认为建设项目不符合本法规定的，负责建设项目审批的部门不予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国务院或者国务院有关部门批准、核准的建设项目，以及与国务院交通运输主管部门直接管理的航道有关的建设项目的航道通航条件影响评价，由国务院交通运输主管部门审核；其他建设项目的航道通航条件影响评价，按照省、自治区、直辖市人民政府的规定由县级以上地方人民政府交通运输主管部门或者航道管理机构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航道上相邻拦河闸坝之间的航道通航水位衔接，应当符合国家规定的通航标准和技术要求。位于航道及其上游支流上的水工程，应当在设计、施工和调度运行中统筹考虑下游航道设计最低通航水位所需的下泄流量，但水文条件超出实际标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保障下游航道通航所需的最小下泄流量以及满足航道通航条件允许的水位变化的确定，应当征求负责航道管理的部门的意见。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水工程需大幅度减流或者大流量泄水的，应当提前通报负责航道管理的部门和海事管理机构，给船舶避让留出合理的时间。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与航道有关的工程施工影响航道正常功能的，负责航道管理的部门、海事管理机构应当根据需要对航标或者航道的位置、走向进行临时调整；影响消除后应当及时恢复。所需费用由建设单位承担，但因防洪抢险工程引起调整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与航道有关的工程竣工验收前，建设单位应当及时清除影响航道通航条件的临时设施及其残留物。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与航道有关的工程建设活动不得危及航道安全。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与航道有关的工程建设活动损坏航道的，建设单位应当予以修复或者依法赔偿。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在通航水域上建设桥梁等建筑物，建设单位应当按照国家有关规定和技术要求设置航标等设施，并承担相应费用。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桥区水上航标由负责航道管理的部门、海事管理机构负责管理维护。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禁止下列危害航道通航安全的行为: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（一）在航道内设置渔具或者水产养殖设施的；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（二）在航道和航道保护范围内倾倒砂石、泥土、垃圾以及其他废弃物的；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（三）在通航建筑物及其引航道和船舶调度区内从事货物装卸、水上加油、船舶维修、捕鱼等，影响通航建筑物正常运行的；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（四）危害航道设施安全的；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（五）其他危害航道通航安全的行为。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在河道内采砂，应当依照有关法律、行政法规的规定进行。禁止在河道内依法划定的砂石禁采区采砂、无证采砂、未按批准的范围和作业方式采砂等非法采砂行为。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在航道和航道保护范围内采砂，不得损害航道通航条件。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本法施行前建设的拦河闸坝造成通航河流断航，需要恢复通航且具备建设通航建筑物条件的，由发展改革部门会同水行政主管部门、交通运输主管部门提出恢复通航方案，报本级人民政府决定。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航道建设、勘察、设计、施工、监理单位在航道建设活动中违反本法规定的，由县级以上人民政府交通运输主管部门依照有关招标投标和工程建设管理的法律、行政法规的规定处罚。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建设单位未依法报送航道通航条件影响评价材料而开工建设的，由有审核权的交通运输主管部门或者航道管理机构责令停止建设，限期补办手续，处三万元以下的罚款；逾期不补办手续继续建设的，由有审核权的交通运输主管部门或者航道管理机构责令恢复原状，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报送的航道通航条件影响评价材料未通过审核，建设单位开工建设的，由有审核权的交通运输主管部门或者航道管理机构责令停止建设、恢复原状，处二十万元以上五十万元以下的罚款。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航道通航条件影响评价的规定建成的项目导致航道通航条件严重下降的，由前两款规定的交通运输主管部门或者航道管理机构责令限期采取补救措施或者拆除；逾期未采取补救措施或者拆除的，由交通运输主管部门或者航道管理机构代为采取补救措施或者依法组织拆除，所需费用由建设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与航道有关的工程的建设单位违反本法规定，未及时清除影响航道通航条件的临时设施及其残留物的，由负责航道管理的部门责令限期清除，处二万元以下的罚款；逾期仍未清除的，处三万元以上二十万元以下的罚款，并由负责航道管理的部门依法组织清除，所需费用由建设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在通航水域上建设桥梁等建筑物，建设单位未按照规定设置航标等设施的，由负责航道管理的部门或者海事管理机构责令改正，处五万元以下罚款。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违反本法规定，有下列行为之一的，由负责航道管理的部门责令改正，对单位处五万元以下罚款，对个人处二千元以下罚款；造成损失的，依法承担赔偿责任: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（一）在航道内设置渔具或者水产养殖设施的；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（二）在航道和航道保护范围内倾倒砂石、泥土、垃圾以及其他废弃物的；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（三）在通航建筑物及其引航道和船舶调度区内从事货物装卸、水上加油、船舶维修、捕鱼等，影响通航建筑物正常运行的；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（四）危害航道设施安全的；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（五）其他危害航道通航安全的行为。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在河道内依法划定的砂石禁采区采砂、无证采砂、未按批准的范围和作业方式采砂等非法采砂的，依照有关法律、行政法规的规定处罚。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在航道和航道保护范围内采砂，损害航道通航条件的，由负责航道管理的部门责令停止违法行为，没收违法所得，可以扣押或者没收非法采砂船舶，并处五万元以上三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违反法律规定，污染环境、破坏生态或者有其他环境违法行为的，依照《中华人民共和国环境保护法》等法律的规定处罚。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交通运输主管部门以及其他有关部门不依法履行本法规定的职责的，对直接负责的主管人员和其他直接责任人员依法给予处分。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负责航道管理的机构不依法履行本法规定的职责的，由其上级主管部门责令改正，对直接负责的主管人员和其他直接责任人员依法给予处分。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违反本法规定，构成违反治安管理行为的，依法给予治安管理处罚；构成犯罪的，依法追究刑事责任。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进出军事港口、渔业港口的专用航道不适用本法。专用航道由专用部门管理。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本法自2015年3月1日起施行。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3CCD7810"/>
    <w:rsid w:val="44BC0EEC"/>
    <w:rsid w:val="457B2892"/>
    <w:rsid w:val="482A39F4"/>
    <w:rsid w:val="56755F92"/>
    <w:rsid w:val="60BE44F5"/>
    <w:rsid w:val="653A70E2"/>
    <w:rsid w:val="6C1E17DE"/>
    <w:rsid w:val="6CB20AFD"/>
    <w:rsid w:val="6E8D2B3C"/>
    <w:rsid w:val="6FF03043"/>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2018-11-28T06:09:40Z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