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042" w:rsidRPr="00FB08D1" w:rsidRDefault="00974042">
      <w:pPr>
        <w:rPr>
          <w:rFonts w:ascii="宋体" w:eastAsia="宋体" w:hAnsi="宋体" w:cs="Arial"/>
          <w:kern w:val="0"/>
          <w:szCs w:val="32"/>
        </w:rPr>
      </w:pPr>
    </w:p>
    <w:p w:rsidR="00974042" w:rsidRPr="00FB08D1" w:rsidRDefault="00974042">
      <w:pPr>
        <w:rPr>
          <w:rFonts w:ascii="宋体" w:eastAsia="宋体" w:hAnsi="宋体" w:cs="Arial"/>
          <w:kern w:val="0"/>
          <w:szCs w:val="32"/>
        </w:rPr>
      </w:pPr>
    </w:p>
    <w:p w:rsidR="00974042" w:rsidRPr="00FB08D1" w:rsidRDefault="009F1A2E">
      <w:pPr>
        <w:jc w:val="center"/>
        <w:rPr>
          <w:rFonts w:ascii="宋体" w:eastAsia="宋体" w:hAnsi="宋体" w:cs="Arial"/>
          <w:bCs/>
          <w:sz w:val="44"/>
          <w:szCs w:val="44"/>
        </w:rPr>
      </w:pPr>
      <w:bookmarkStart w:id="0" w:name="Title"/>
      <w:r w:rsidRPr="00FB08D1">
        <w:rPr>
          <w:rFonts w:ascii="宋体" w:eastAsia="宋体" w:hAnsi="宋体" w:cs="Arial"/>
          <w:bCs/>
          <w:sz w:val="44"/>
          <w:szCs w:val="44"/>
        </w:rPr>
        <w:t>中华人民共和国资源税法</w:t>
      </w:r>
      <w:bookmarkEnd w:id="0"/>
    </w:p>
    <w:p w:rsidR="00974042" w:rsidRPr="00FB08D1" w:rsidRDefault="00974042">
      <w:pPr>
        <w:ind w:firstLineChars="200" w:firstLine="632"/>
        <w:rPr>
          <w:rFonts w:ascii="宋体" w:eastAsia="宋体" w:hAnsi="宋体" w:cs="Arial"/>
          <w:szCs w:val="32"/>
        </w:rPr>
      </w:pPr>
    </w:p>
    <w:p w:rsidR="00974042" w:rsidRPr="00FB08D1" w:rsidRDefault="009F1A2E">
      <w:pPr>
        <w:ind w:leftChars="200" w:left="632" w:rightChars="200" w:right="632"/>
        <w:rPr>
          <w:rFonts w:ascii="楷体_GB2312" w:eastAsia="楷体_GB2312"/>
          <w:szCs w:val="32"/>
        </w:rPr>
      </w:pPr>
      <w:r w:rsidRPr="00FB08D1">
        <w:rPr>
          <w:rFonts w:ascii="楷体_GB2312" w:eastAsia="楷体_GB2312" w:hAnsi="Arial" w:cs="Arial" w:hint="eastAsia"/>
          <w:szCs w:val="32"/>
        </w:rPr>
        <w:t>（</w:t>
      </w:r>
      <w:bookmarkStart w:id="1" w:name="TitleDescription"/>
      <w:r w:rsidRPr="00FB08D1">
        <w:rPr>
          <w:rFonts w:eastAsia="楷体_GB2312"/>
          <w:szCs w:val="32"/>
        </w:rPr>
        <w:t>2019</w:t>
      </w:r>
      <w:r w:rsidRPr="00FB08D1">
        <w:rPr>
          <w:rFonts w:ascii="楷体_GB2312" w:eastAsia="楷体_GB2312" w:hint="eastAsia"/>
          <w:szCs w:val="32"/>
        </w:rPr>
        <w:t>年</w:t>
      </w:r>
      <w:r w:rsidRPr="00FB08D1">
        <w:rPr>
          <w:rFonts w:eastAsia="楷体_GB2312"/>
          <w:szCs w:val="32"/>
        </w:rPr>
        <w:t>8</w:t>
      </w:r>
      <w:r w:rsidRPr="00FB08D1">
        <w:rPr>
          <w:rFonts w:ascii="楷体_GB2312" w:eastAsia="楷体_GB2312" w:hint="eastAsia"/>
          <w:szCs w:val="32"/>
        </w:rPr>
        <w:t>月</w:t>
      </w:r>
      <w:r w:rsidRPr="00FB08D1">
        <w:rPr>
          <w:rFonts w:eastAsia="楷体_GB2312"/>
          <w:szCs w:val="32"/>
        </w:rPr>
        <w:t>26</w:t>
      </w:r>
      <w:r w:rsidRPr="00FB08D1">
        <w:rPr>
          <w:rFonts w:ascii="楷体_GB2312" w:eastAsia="楷体_GB2312" w:hint="eastAsia"/>
          <w:szCs w:val="32"/>
        </w:rPr>
        <w:t>日第十三届全国人民代表大会常务委员会第十二次会议通过</w:t>
      </w:r>
      <w:bookmarkEnd w:id="1"/>
      <w:r w:rsidRPr="00FB08D1">
        <w:rPr>
          <w:rFonts w:ascii="楷体_GB2312" w:eastAsia="楷体_GB2312" w:hAnsi="Arial" w:cs="Arial" w:hint="eastAsia"/>
          <w:szCs w:val="32"/>
        </w:rPr>
        <w:t>）</w:t>
      </w:r>
    </w:p>
    <w:p w:rsidR="00974042" w:rsidRPr="00FB08D1" w:rsidRDefault="009F1A2E">
      <w:r w:rsidRPr="00FB08D1">
        <w:rPr>
          <w:rFonts w:ascii="宋体" w:eastAsia="宋体" w:hAnsi="宋体" w:cs="宋体"/>
        </w:rPr>
        <w:t xml:space="preserve"> </w:t>
      </w:r>
    </w:p>
    <w:p w:rsidR="00974042" w:rsidRPr="00FB08D1" w:rsidRDefault="009F1A2E">
      <w:pPr>
        <w:ind w:firstLine="640"/>
      </w:pPr>
      <w:r w:rsidRPr="00FB08D1">
        <w:rPr>
          <w:rFonts w:ascii="黑体" w:eastAsia="黑体" w:hAnsi="黑体" w:cs="黑体"/>
        </w:rPr>
        <w:t>第一条</w:t>
      </w:r>
      <w:r w:rsidRPr="00FB08D1">
        <w:rPr>
          <w:rFonts w:ascii="仿宋_GB2312" w:hAnsi="仿宋_GB2312" w:cs="仿宋_GB2312"/>
        </w:rPr>
        <w:t xml:space="preserve">  在中华人民共和国领域和中华人民共和国管辖的其他海域开发应税资源的单位和个人，为资源税的纳税人，应当依照本法规定缴纳资源税。</w:t>
      </w:r>
    </w:p>
    <w:p w:rsidR="00974042" w:rsidRPr="00FB08D1" w:rsidRDefault="009F1A2E">
      <w:pPr>
        <w:ind w:firstLine="640"/>
      </w:pPr>
      <w:r w:rsidRPr="00FB08D1">
        <w:rPr>
          <w:rFonts w:ascii="仿宋_GB2312" w:hAnsi="仿宋_GB2312" w:cs="仿宋_GB2312"/>
        </w:rPr>
        <w:t>应税资源的具体范围，由本法所附《资源税税目税率表》（以下称《税目税率表》）确定。</w:t>
      </w:r>
    </w:p>
    <w:p w:rsidR="00974042" w:rsidRPr="00FB08D1" w:rsidRDefault="009F1A2E">
      <w:pPr>
        <w:ind w:firstLine="640"/>
      </w:pPr>
      <w:r w:rsidRPr="00FB08D1">
        <w:rPr>
          <w:rFonts w:ascii="黑体" w:eastAsia="黑体" w:hAnsi="黑体" w:cs="黑体"/>
        </w:rPr>
        <w:t>第二条</w:t>
      </w:r>
      <w:r w:rsidRPr="00FB08D1">
        <w:rPr>
          <w:rFonts w:ascii="仿宋_GB2312" w:hAnsi="仿宋_GB2312" w:cs="仿宋_GB2312"/>
        </w:rPr>
        <w:t xml:space="preserve">  资源税的税目、税率，依照《税目税率表》执行。</w:t>
      </w:r>
    </w:p>
    <w:p w:rsidR="00974042" w:rsidRPr="00FB08D1" w:rsidRDefault="009F1A2E">
      <w:pPr>
        <w:ind w:firstLine="640"/>
      </w:pPr>
      <w:r w:rsidRPr="00FB08D1">
        <w:rPr>
          <w:rFonts w:ascii="仿宋_GB2312" w:hAnsi="仿宋_GB2312" w:cs="仿宋_GB2312"/>
        </w:rPr>
        <w:t>《税目税率表》中规定实行幅度税率的，其具体适用税率由省、自治区、直辖市人民政府统筹考虑该应税资源的品位、开采条件以及对生态环境的影响等情况，在《税目税率表》规定的税率幅度内提出，报同级人民代表大会常务委员会决定，并报全国人民代表大会常务委员会和国务院备案。《税目税率表》中规定征税对象为原矿或者选矿的，应当分别确定具体适用税率。</w:t>
      </w:r>
    </w:p>
    <w:p w:rsidR="00974042" w:rsidRPr="00FB08D1" w:rsidRDefault="009F1A2E">
      <w:pPr>
        <w:ind w:firstLine="640"/>
      </w:pPr>
      <w:r w:rsidRPr="00FB08D1">
        <w:rPr>
          <w:rFonts w:ascii="黑体" w:eastAsia="黑体" w:hAnsi="黑体" w:cs="黑体"/>
        </w:rPr>
        <w:t>第三条</w:t>
      </w:r>
      <w:r w:rsidRPr="00FB08D1">
        <w:rPr>
          <w:rFonts w:ascii="仿宋_GB2312" w:hAnsi="仿宋_GB2312" w:cs="仿宋_GB2312"/>
        </w:rPr>
        <w:t xml:space="preserve">  资源税按照《税目税率表》实行从价计征或者从量计征。</w:t>
      </w:r>
    </w:p>
    <w:p w:rsidR="00974042" w:rsidRPr="00FB08D1" w:rsidRDefault="009F1A2E">
      <w:pPr>
        <w:ind w:firstLine="640"/>
      </w:pPr>
      <w:r w:rsidRPr="00FB08D1">
        <w:rPr>
          <w:rFonts w:ascii="仿宋_GB2312" w:hAnsi="仿宋_GB2312" w:cs="仿宋_GB2312"/>
        </w:rPr>
        <w:t>《税目税率表》中规定可以选择实行从价计征或者从量计征</w:t>
      </w:r>
      <w:r w:rsidRPr="00FB08D1">
        <w:rPr>
          <w:rFonts w:ascii="仿宋_GB2312" w:hAnsi="仿宋_GB2312" w:cs="仿宋_GB2312"/>
        </w:rPr>
        <w:lastRenderedPageBreak/>
        <w:t>的，具体计征方式由省、自治区、直辖市人民政府提出，报同级人民代表大会常务委员会决定，并报全国人民代表大会常务委员会和国务院备案。</w:t>
      </w:r>
    </w:p>
    <w:p w:rsidR="00974042" w:rsidRPr="00FB08D1" w:rsidRDefault="009F1A2E">
      <w:pPr>
        <w:ind w:firstLine="640"/>
      </w:pPr>
      <w:r w:rsidRPr="00FB08D1">
        <w:rPr>
          <w:rFonts w:ascii="仿宋_GB2312" w:hAnsi="仿宋_GB2312" w:cs="仿宋_GB2312"/>
        </w:rPr>
        <w:t>实行从价计征的，应纳税额按照应税资源产品（以下称应税产品）的销售额乘以具体适用税率计算。实行从量计征的，应纳税额按照应税产品的销售数量乘以具体适用税率计算。</w:t>
      </w:r>
    </w:p>
    <w:p w:rsidR="00974042" w:rsidRPr="00FB08D1" w:rsidRDefault="009F1A2E">
      <w:pPr>
        <w:ind w:firstLine="640"/>
      </w:pPr>
      <w:r w:rsidRPr="00FB08D1">
        <w:rPr>
          <w:rFonts w:ascii="仿宋_GB2312" w:hAnsi="仿宋_GB2312" w:cs="仿宋_GB2312"/>
        </w:rPr>
        <w:t>应税产品为矿产品的，包括原矿和选矿产品。</w:t>
      </w:r>
    </w:p>
    <w:p w:rsidR="00974042" w:rsidRPr="00FB08D1" w:rsidRDefault="009F1A2E">
      <w:pPr>
        <w:ind w:firstLine="640"/>
      </w:pPr>
      <w:r w:rsidRPr="00FB08D1">
        <w:rPr>
          <w:rFonts w:ascii="黑体" w:eastAsia="黑体" w:hAnsi="黑体" w:cs="黑体"/>
        </w:rPr>
        <w:t>第四条</w:t>
      </w:r>
      <w:r w:rsidRPr="00FB08D1">
        <w:rPr>
          <w:rFonts w:ascii="仿宋_GB2312" w:hAnsi="仿宋_GB2312" w:cs="仿宋_GB2312"/>
        </w:rPr>
        <w:t xml:space="preserve">  纳税人开采或者生产不同税目应税产品的，应当分别核算不同税目应税产品的销售额或者销售数量；未分别核算或者不能准确提供不同税目应税产品的销售额或者销售数量的，从高适用税率。</w:t>
      </w:r>
    </w:p>
    <w:p w:rsidR="00974042" w:rsidRPr="00FB08D1" w:rsidRDefault="009F1A2E">
      <w:pPr>
        <w:ind w:firstLine="640"/>
      </w:pPr>
      <w:r w:rsidRPr="00FB08D1">
        <w:rPr>
          <w:rFonts w:ascii="黑体" w:eastAsia="黑体" w:hAnsi="黑体" w:cs="黑体"/>
        </w:rPr>
        <w:t>第五条</w:t>
      </w:r>
      <w:r w:rsidRPr="00FB08D1">
        <w:rPr>
          <w:rFonts w:ascii="仿宋_GB2312" w:hAnsi="仿宋_GB2312" w:cs="仿宋_GB2312"/>
        </w:rPr>
        <w:t xml:space="preserve">  纳税人开采或者生产应税产品自用的，应当依照本法规定缴纳资源税；但是，自用于连续生产应税产品的，不缴纳资源税。</w:t>
      </w:r>
    </w:p>
    <w:p w:rsidR="00974042" w:rsidRPr="00FB08D1" w:rsidRDefault="009F1A2E">
      <w:pPr>
        <w:ind w:firstLine="640"/>
      </w:pPr>
      <w:r w:rsidRPr="00FB08D1">
        <w:rPr>
          <w:rFonts w:ascii="黑体" w:eastAsia="黑体" w:hAnsi="黑体" w:cs="黑体"/>
        </w:rPr>
        <w:t>第六条</w:t>
      </w:r>
      <w:r w:rsidRPr="00FB08D1">
        <w:rPr>
          <w:rFonts w:ascii="仿宋_GB2312" w:hAnsi="仿宋_GB2312" w:cs="仿宋_GB2312"/>
        </w:rPr>
        <w:t xml:space="preserve">  有下列情形之一的，免征资源税：</w:t>
      </w:r>
    </w:p>
    <w:p w:rsidR="00974042" w:rsidRPr="00FB08D1" w:rsidRDefault="009F1A2E">
      <w:pPr>
        <w:ind w:firstLine="640"/>
      </w:pPr>
      <w:r w:rsidRPr="00FB08D1">
        <w:rPr>
          <w:rFonts w:ascii="仿宋_GB2312" w:hAnsi="仿宋_GB2312" w:cs="仿宋_GB2312"/>
        </w:rPr>
        <w:t>（一）开采原油以及在油田范围内运输原油过程中用于加热的原油、天然气；</w:t>
      </w:r>
    </w:p>
    <w:p w:rsidR="00974042" w:rsidRPr="00FB08D1" w:rsidRDefault="009F1A2E">
      <w:pPr>
        <w:ind w:firstLine="640"/>
      </w:pPr>
      <w:r w:rsidRPr="00FB08D1">
        <w:rPr>
          <w:rFonts w:ascii="仿宋_GB2312" w:hAnsi="仿宋_GB2312" w:cs="仿宋_GB2312"/>
        </w:rPr>
        <w:t>（二）煤炭开采企业因安全生产需要抽采的煤成（层）气。</w:t>
      </w:r>
    </w:p>
    <w:p w:rsidR="00974042" w:rsidRPr="00FB08D1" w:rsidRDefault="009F1A2E">
      <w:pPr>
        <w:ind w:firstLine="640"/>
      </w:pPr>
      <w:r w:rsidRPr="00FB08D1">
        <w:rPr>
          <w:rFonts w:ascii="仿宋_GB2312" w:hAnsi="仿宋_GB2312" w:cs="仿宋_GB2312"/>
        </w:rPr>
        <w:t>有下列情形之一的，减征资源税：</w:t>
      </w:r>
    </w:p>
    <w:p w:rsidR="00974042" w:rsidRPr="00FB08D1" w:rsidRDefault="009F1A2E">
      <w:pPr>
        <w:ind w:firstLine="640"/>
      </w:pPr>
      <w:r w:rsidRPr="00FB08D1">
        <w:rPr>
          <w:rFonts w:ascii="仿宋_GB2312" w:hAnsi="仿宋_GB2312" w:cs="仿宋_GB2312"/>
        </w:rPr>
        <w:t>（一）从低丰度油气田开采的原油、天然气，减征百分之二十资源税；</w:t>
      </w:r>
    </w:p>
    <w:p w:rsidR="00974042" w:rsidRPr="00FB08D1" w:rsidRDefault="009F1A2E">
      <w:pPr>
        <w:ind w:firstLine="640"/>
      </w:pPr>
      <w:r w:rsidRPr="00FB08D1">
        <w:rPr>
          <w:rFonts w:ascii="仿宋_GB2312" w:hAnsi="仿宋_GB2312" w:cs="仿宋_GB2312"/>
        </w:rPr>
        <w:t>（二）高含硫天然气、三次采油和从深水油气田开采的原油、</w:t>
      </w:r>
      <w:r w:rsidRPr="00FB08D1">
        <w:rPr>
          <w:rFonts w:ascii="仿宋_GB2312" w:hAnsi="仿宋_GB2312" w:cs="仿宋_GB2312"/>
        </w:rPr>
        <w:lastRenderedPageBreak/>
        <w:t>天然气，减征百分之三十资源税；</w:t>
      </w:r>
    </w:p>
    <w:p w:rsidR="00974042" w:rsidRPr="00FB08D1" w:rsidRDefault="009F1A2E">
      <w:pPr>
        <w:ind w:firstLine="640"/>
      </w:pPr>
      <w:r w:rsidRPr="00FB08D1">
        <w:rPr>
          <w:rFonts w:ascii="仿宋_GB2312" w:hAnsi="仿宋_GB2312" w:cs="仿宋_GB2312"/>
        </w:rPr>
        <w:t>（三）稠油、高凝油减征百分之四十资源税；</w:t>
      </w:r>
    </w:p>
    <w:p w:rsidR="00974042" w:rsidRPr="00FB08D1" w:rsidRDefault="009F1A2E">
      <w:pPr>
        <w:ind w:firstLine="640"/>
      </w:pPr>
      <w:r w:rsidRPr="00FB08D1">
        <w:rPr>
          <w:rFonts w:ascii="仿宋_GB2312" w:hAnsi="仿宋_GB2312" w:cs="仿宋_GB2312"/>
        </w:rPr>
        <w:t>（四）从衰竭期矿山开采的矿产品，减征百分之三十资源税。</w:t>
      </w:r>
    </w:p>
    <w:p w:rsidR="00974042" w:rsidRPr="00FB08D1" w:rsidRDefault="009F1A2E">
      <w:pPr>
        <w:ind w:firstLine="640"/>
      </w:pPr>
      <w:r w:rsidRPr="00FB08D1">
        <w:rPr>
          <w:rFonts w:ascii="仿宋_GB2312" w:hAnsi="仿宋_GB2312" w:cs="仿宋_GB2312"/>
        </w:rPr>
        <w:t>根据国民经济和社会发展需要，国务院对有利于促进资源节约集约利用、保护环境等情形可以规定免征或者减征资源税，报全国人民代表大会常务委员会备案。</w:t>
      </w:r>
    </w:p>
    <w:p w:rsidR="00974042" w:rsidRPr="00FB08D1" w:rsidRDefault="009F1A2E">
      <w:pPr>
        <w:ind w:firstLine="640"/>
      </w:pPr>
      <w:r w:rsidRPr="00FB08D1">
        <w:rPr>
          <w:rFonts w:ascii="黑体" w:eastAsia="黑体" w:hAnsi="黑体" w:cs="黑体"/>
        </w:rPr>
        <w:t>第七条</w:t>
      </w:r>
      <w:r w:rsidRPr="00FB08D1">
        <w:rPr>
          <w:rFonts w:ascii="仿宋_GB2312" w:hAnsi="仿宋_GB2312" w:cs="仿宋_GB2312"/>
        </w:rPr>
        <w:t xml:space="preserve">  有下列情形之一的，省、自治区、直辖市可以决定免征或者减征资源税：</w:t>
      </w:r>
    </w:p>
    <w:p w:rsidR="00974042" w:rsidRPr="00FB08D1" w:rsidRDefault="009F1A2E">
      <w:pPr>
        <w:ind w:firstLine="640"/>
      </w:pPr>
      <w:r w:rsidRPr="00FB08D1">
        <w:rPr>
          <w:rFonts w:ascii="仿宋_GB2312" w:hAnsi="仿宋_GB2312" w:cs="仿宋_GB2312"/>
        </w:rPr>
        <w:t>（一）纳税人开采或者生产应税产品过程中，因意外事故或者自然灾害等原因遭受重大损失；</w:t>
      </w:r>
    </w:p>
    <w:p w:rsidR="00974042" w:rsidRPr="00FB08D1" w:rsidRDefault="009F1A2E">
      <w:pPr>
        <w:ind w:firstLine="640"/>
      </w:pPr>
      <w:r w:rsidRPr="00FB08D1">
        <w:rPr>
          <w:rFonts w:ascii="仿宋_GB2312" w:hAnsi="仿宋_GB2312" w:cs="仿宋_GB2312"/>
        </w:rPr>
        <w:t>（二）纳税人开采共伴生矿、低品位矿、尾矿。</w:t>
      </w:r>
    </w:p>
    <w:p w:rsidR="00974042" w:rsidRPr="00FB08D1" w:rsidRDefault="009F1A2E">
      <w:pPr>
        <w:ind w:firstLine="640"/>
      </w:pPr>
      <w:r w:rsidRPr="00FB08D1">
        <w:rPr>
          <w:rFonts w:ascii="仿宋_GB2312" w:hAnsi="仿宋_GB2312" w:cs="仿宋_GB2312"/>
        </w:rPr>
        <w:t>前款规定的免征或者减征资源税的具体办法，由省、自治区、直辖市人民政府提出，报同级人民代表大会常务委员会决定，并报全国人民代表大会常务委员会和国务院备案。</w:t>
      </w:r>
    </w:p>
    <w:p w:rsidR="00974042" w:rsidRPr="00FB08D1" w:rsidRDefault="009F1A2E">
      <w:pPr>
        <w:ind w:firstLine="640"/>
      </w:pPr>
      <w:r w:rsidRPr="00FB08D1">
        <w:rPr>
          <w:rFonts w:ascii="黑体" w:eastAsia="黑体" w:hAnsi="黑体" w:cs="黑体"/>
        </w:rPr>
        <w:t>第八条</w:t>
      </w:r>
      <w:r w:rsidRPr="00FB08D1">
        <w:rPr>
          <w:rFonts w:ascii="仿宋_GB2312" w:hAnsi="仿宋_GB2312" w:cs="仿宋_GB2312"/>
        </w:rPr>
        <w:t xml:space="preserve">  纳税人的免税、减税项目，应当单独核算销售额或者销售数量；未单独核算或者不能准确提供销售额或者销售数量的，不予免税或者减税。</w:t>
      </w:r>
    </w:p>
    <w:p w:rsidR="00974042" w:rsidRPr="00FB08D1" w:rsidRDefault="009F1A2E">
      <w:pPr>
        <w:ind w:firstLine="640"/>
      </w:pPr>
      <w:r w:rsidRPr="00FB08D1">
        <w:rPr>
          <w:rFonts w:ascii="黑体" w:eastAsia="黑体" w:hAnsi="黑体" w:cs="黑体"/>
        </w:rPr>
        <w:t>第九条</w:t>
      </w:r>
      <w:r w:rsidRPr="00FB08D1">
        <w:rPr>
          <w:rFonts w:ascii="仿宋_GB2312" w:hAnsi="仿宋_GB2312" w:cs="仿宋_GB2312"/>
        </w:rPr>
        <w:t xml:space="preserve">  资源税由税务机关依照本法和《中华人民共和国税收征收管理法》的规定征收管理。</w:t>
      </w:r>
    </w:p>
    <w:p w:rsidR="00974042" w:rsidRPr="00FB08D1" w:rsidRDefault="009F1A2E">
      <w:pPr>
        <w:ind w:firstLine="640"/>
      </w:pPr>
      <w:r w:rsidRPr="00FB08D1">
        <w:rPr>
          <w:rFonts w:ascii="仿宋_GB2312" w:hAnsi="仿宋_GB2312" w:cs="仿宋_GB2312"/>
        </w:rPr>
        <w:t>税务机关与自然资源等相关部门应当建立工作配合机制，加强资源税征收管理。</w:t>
      </w:r>
    </w:p>
    <w:p w:rsidR="00974042" w:rsidRPr="00FB08D1" w:rsidRDefault="009F1A2E">
      <w:pPr>
        <w:ind w:firstLine="640"/>
      </w:pPr>
      <w:r w:rsidRPr="00FB08D1">
        <w:rPr>
          <w:rFonts w:ascii="黑体" w:eastAsia="黑体" w:hAnsi="黑体" w:cs="黑体"/>
        </w:rPr>
        <w:t>第十条</w:t>
      </w:r>
      <w:r w:rsidRPr="00FB08D1">
        <w:rPr>
          <w:rFonts w:ascii="仿宋_GB2312" w:hAnsi="仿宋_GB2312" w:cs="仿宋_GB2312"/>
        </w:rPr>
        <w:t xml:space="preserve">  纳税人销售应税产品，纳税义务发生时间为收讫销</w:t>
      </w:r>
      <w:r w:rsidRPr="00FB08D1">
        <w:rPr>
          <w:rFonts w:ascii="仿宋_GB2312" w:hAnsi="仿宋_GB2312" w:cs="仿宋_GB2312"/>
        </w:rPr>
        <w:lastRenderedPageBreak/>
        <w:t>售款或者取得索取销售款凭据的当日；自用应税产品的，纳税义务发生时间为移送应税产品的当日。</w:t>
      </w:r>
    </w:p>
    <w:p w:rsidR="00974042" w:rsidRPr="00FB08D1" w:rsidRDefault="009F1A2E">
      <w:pPr>
        <w:ind w:firstLine="640"/>
      </w:pPr>
      <w:r w:rsidRPr="00FB08D1">
        <w:rPr>
          <w:rFonts w:ascii="黑体" w:eastAsia="黑体" w:hAnsi="黑体" w:cs="黑体"/>
        </w:rPr>
        <w:t>第十一条</w:t>
      </w:r>
      <w:r w:rsidRPr="00FB08D1">
        <w:rPr>
          <w:rFonts w:ascii="仿宋_GB2312" w:hAnsi="仿宋_GB2312" w:cs="仿宋_GB2312"/>
        </w:rPr>
        <w:t xml:space="preserve">  纳税人应当向应税产品开采地或者生产地的税务机关申报缴纳资源税。</w:t>
      </w:r>
    </w:p>
    <w:p w:rsidR="00974042" w:rsidRPr="00FB08D1" w:rsidRDefault="009F1A2E">
      <w:pPr>
        <w:ind w:firstLine="640"/>
      </w:pPr>
      <w:r w:rsidRPr="00FB08D1">
        <w:rPr>
          <w:rFonts w:ascii="黑体" w:eastAsia="黑体" w:hAnsi="黑体" w:cs="黑体"/>
        </w:rPr>
        <w:t>第十二条</w:t>
      </w:r>
      <w:r w:rsidRPr="00FB08D1">
        <w:rPr>
          <w:rFonts w:ascii="仿宋_GB2312" w:hAnsi="仿宋_GB2312" w:cs="仿宋_GB2312"/>
        </w:rPr>
        <w:t xml:space="preserve">  资源税按月或者按季申报缴纳；不能按固定期限计算缴纳的，可以按次申报缴纳。</w:t>
      </w:r>
    </w:p>
    <w:p w:rsidR="00974042" w:rsidRPr="00FB08D1" w:rsidRDefault="009F1A2E">
      <w:pPr>
        <w:ind w:firstLine="640"/>
      </w:pPr>
      <w:r w:rsidRPr="00FB08D1">
        <w:rPr>
          <w:rFonts w:ascii="仿宋_GB2312" w:hAnsi="仿宋_GB2312" w:cs="仿宋_GB2312"/>
        </w:rPr>
        <w:t>纳税人按月或者按季申报缴纳的，应当自月度或者季度终了之日起十五日内，向税务机关办理纳税申报并缴纳税款；按次申报缴纳的，应当自纳税义务发生之日起十五日内，向税务机关办理纳税申报并缴纳税款。</w:t>
      </w:r>
    </w:p>
    <w:p w:rsidR="00974042" w:rsidRPr="00FB08D1" w:rsidRDefault="009F1A2E">
      <w:pPr>
        <w:ind w:firstLine="640"/>
      </w:pPr>
      <w:r w:rsidRPr="00FB08D1">
        <w:rPr>
          <w:rFonts w:ascii="黑体" w:eastAsia="黑体" w:hAnsi="黑体" w:cs="黑体"/>
        </w:rPr>
        <w:t>第十三条</w:t>
      </w:r>
      <w:r w:rsidRPr="00FB08D1">
        <w:rPr>
          <w:rFonts w:ascii="仿宋_GB2312" w:hAnsi="仿宋_GB2312" w:cs="仿宋_GB2312"/>
        </w:rPr>
        <w:t xml:space="preserve">  纳税人、税务机关及其工作人员违反本法规定的，依照《中华人民共和国税收征收管理法》和有关法律法规的规定追究法律责任。</w:t>
      </w:r>
    </w:p>
    <w:p w:rsidR="00974042" w:rsidRPr="00FB08D1" w:rsidRDefault="009F1A2E">
      <w:pPr>
        <w:ind w:firstLine="640"/>
      </w:pPr>
      <w:r w:rsidRPr="00FB08D1">
        <w:rPr>
          <w:rFonts w:ascii="黑体" w:eastAsia="黑体" w:hAnsi="黑体" w:cs="黑体"/>
        </w:rPr>
        <w:t>第十四条</w:t>
      </w:r>
      <w:r w:rsidRPr="00FB08D1">
        <w:rPr>
          <w:rFonts w:ascii="仿宋_GB2312" w:hAnsi="仿宋_GB2312" w:cs="仿宋_GB2312"/>
        </w:rPr>
        <w:t xml:space="preserve">  国务院根据国民经济和社会发展需要，依照本法的原则，对取用地表水或者地下水的单位和个人试点征收水资源税。征收水资源税的，停止征收水资源费。</w:t>
      </w:r>
    </w:p>
    <w:p w:rsidR="00974042" w:rsidRPr="00FB08D1" w:rsidRDefault="009F1A2E">
      <w:pPr>
        <w:ind w:firstLine="640"/>
      </w:pPr>
      <w:r w:rsidRPr="00FB08D1">
        <w:rPr>
          <w:rFonts w:ascii="仿宋_GB2312" w:hAnsi="仿宋_GB2312" w:cs="仿宋_GB2312"/>
        </w:rPr>
        <w:t>水资源税根据当地水资源状况、取用水类型和经济发展等情况实行差别税率。</w:t>
      </w:r>
    </w:p>
    <w:p w:rsidR="00974042" w:rsidRPr="00FB08D1" w:rsidRDefault="009F1A2E">
      <w:pPr>
        <w:ind w:firstLine="640"/>
      </w:pPr>
      <w:r w:rsidRPr="00FB08D1">
        <w:rPr>
          <w:rFonts w:ascii="仿宋_GB2312" w:hAnsi="仿宋_GB2312" w:cs="仿宋_GB2312"/>
        </w:rPr>
        <w:t>水资源税试点实施办法由国务院规定，报全国人民代表大会常务委员会备案。</w:t>
      </w:r>
    </w:p>
    <w:p w:rsidR="00974042" w:rsidRPr="00FB08D1" w:rsidRDefault="009F1A2E">
      <w:pPr>
        <w:ind w:firstLine="640"/>
      </w:pPr>
      <w:r w:rsidRPr="00FB08D1">
        <w:rPr>
          <w:rFonts w:ascii="仿宋_GB2312" w:hAnsi="仿宋_GB2312" w:cs="仿宋_GB2312"/>
        </w:rPr>
        <w:t>国务院自本法施行之日起五年内，就征收水资源税试点情况向全国人民代表大会常务委员会报告，并及时提出修改法律的建</w:t>
      </w:r>
      <w:r w:rsidRPr="00FB08D1">
        <w:rPr>
          <w:rFonts w:ascii="仿宋_GB2312" w:hAnsi="仿宋_GB2312" w:cs="仿宋_GB2312"/>
        </w:rPr>
        <w:lastRenderedPageBreak/>
        <w:t>议。</w:t>
      </w:r>
    </w:p>
    <w:p w:rsidR="00974042" w:rsidRPr="00FB08D1" w:rsidRDefault="009F1A2E">
      <w:pPr>
        <w:ind w:firstLine="640"/>
      </w:pPr>
      <w:r w:rsidRPr="00FB08D1">
        <w:rPr>
          <w:rFonts w:ascii="黑体" w:eastAsia="黑体" w:hAnsi="黑体" w:cs="黑体"/>
        </w:rPr>
        <w:t>第十五条</w:t>
      </w:r>
      <w:r w:rsidRPr="00FB08D1">
        <w:rPr>
          <w:rFonts w:ascii="仿宋_GB2312" w:hAnsi="仿宋_GB2312" w:cs="仿宋_GB2312"/>
        </w:rPr>
        <w:t xml:space="preserve">  中外合作开采陆上、海上石油资源的企业依法缴纳资源税。</w:t>
      </w:r>
    </w:p>
    <w:p w:rsidR="00974042" w:rsidRPr="00FB08D1" w:rsidRDefault="009F1A2E">
      <w:pPr>
        <w:ind w:firstLine="640"/>
      </w:pPr>
      <w:r w:rsidRPr="00FB08D1">
        <w:t>2011</w:t>
      </w:r>
      <w:r w:rsidRPr="00FB08D1">
        <w:rPr>
          <w:rFonts w:ascii="仿宋_GB2312" w:hAnsi="仿宋_GB2312" w:cs="仿宋_GB2312"/>
        </w:rPr>
        <w:t>年</w:t>
      </w:r>
      <w:r w:rsidRPr="00FB08D1">
        <w:t>11</w:t>
      </w:r>
      <w:r w:rsidRPr="00FB08D1">
        <w:rPr>
          <w:rFonts w:ascii="仿宋_GB2312" w:hAnsi="仿宋_GB2312" w:cs="仿宋_GB2312"/>
        </w:rPr>
        <w:t>月</w:t>
      </w:r>
      <w:r w:rsidRPr="00FB08D1">
        <w:t>1</w:t>
      </w:r>
      <w:r w:rsidRPr="00FB08D1">
        <w:rPr>
          <w:rFonts w:ascii="仿宋_GB2312" w:hAnsi="仿宋_GB2312" w:cs="仿宋_GB2312"/>
        </w:rPr>
        <w:t>日前已依法订立中外合作开采陆上、海上石油资源合同的，在该合同有效期内，继续依照国家有关规定缴纳矿区使用费，不缴纳资源税；合同期满后，依法缴纳资源税。</w:t>
      </w:r>
    </w:p>
    <w:p w:rsidR="00974042" w:rsidRPr="00FB08D1" w:rsidRDefault="009F1A2E">
      <w:pPr>
        <w:ind w:firstLine="640"/>
      </w:pPr>
      <w:r w:rsidRPr="00FB08D1">
        <w:rPr>
          <w:rFonts w:ascii="黑体" w:eastAsia="黑体" w:hAnsi="黑体" w:cs="黑体"/>
        </w:rPr>
        <w:t>第十六条</w:t>
      </w:r>
      <w:r w:rsidRPr="00FB08D1">
        <w:rPr>
          <w:rFonts w:ascii="仿宋_GB2312" w:hAnsi="仿宋_GB2312" w:cs="仿宋_GB2312"/>
        </w:rPr>
        <w:t xml:space="preserve">  本法下列用语的含义是：</w:t>
      </w:r>
    </w:p>
    <w:p w:rsidR="00974042" w:rsidRPr="00FB08D1" w:rsidRDefault="009F1A2E">
      <w:pPr>
        <w:ind w:firstLine="640"/>
      </w:pPr>
      <w:r w:rsidRPr="00FB08D1">
        <w:rPr>
          <w:rFonts w:ascii="仿宋_GB2312" w:hAnsi="仿宋_GB2312" w:cs="仿宋_GB2312"/>
        </w:rPr>
        <w:t>（一）低丰度油气田，包括陆上低丰度油田、陆上低丰度气田、海上低丰度油田、海上低丰度气田。陆上低丰度油田是指每平方公里原油可开采储量丰度低于二十五万立方米的油田；陆上低丰度气田是指每平方公里天然气可开采储量丰度低于二亿五千万立方米的气田；海上低丰度油田是指每平方公里原油可开采储量丰度低于六十万立方米的油田；海上低丰度气田是指每平方公里天然气可开采储量丰度低于六亿立方米的气田。</w:t>
      </w:r>
    </w:p>
    <w:p w:rsidR="00974042" w:rsidRPr="00FB08D1" w:rsidRDefault="009F1A2E">
      <w:pPr>
        <w:ind w:firstLine="640"/>
      </w:pPr>
      <w:r w:rsidRPr="00FB08D1">
        <w:rPr>
          <w:rFonts w:ascii="仿宋_GB2312" w:hAnsi="仿宋_GB2312" w:cs="仿宋_GB2312"/>
        </w:rPr>
        <w:t>（二）高含硫天然气，是指硫化氢含量在每立方米三十克以上的天然气。</w:t>
      </w:r>
    </w:p>
    <w:p w:rsidR="00974042" w:rsidRPr="00FB08D1" w:rsidRDefault="009F1A2E">
      <w:pPr>
        <w:ind w:firstLine="640"/>
      </w:pPr>
      <w:r w:rsidRPr="00FB08D1">
        <w:rPr>
          <w:rFonts w:ascii="仿宋_GB2312" w:hAnsi="仿宋_GB2312" w:cs="仿宋_GB2312"/>
        </w:rPr>
        <w:t>（三）三次采油，是指二次采油后继续以聚合物驱、复合驱、泡沫驱、气水交替驱、二氧化碳驱、微生物驱等方式进行采油。</w:t>
      </w:r>
    </w:p>
    <w:p w:rsidR="00974042" w:rsidRPr="00FB08D1" w:rsidRDefault="009F1A2E">
      <w:pPr>
        <w:ind w:firstLine="640"/>
      </w:pPr>
      <w:r w:rsidRPr="00FB08D1">
        <w:rPr>
          <w:rFonts w:ascii="仿宋_GB2312" w:hAnsi="仿宋_GB2312" w:cs="仿宋_GB2312"/>
        </w:rPr>
        <w:t>（四）深水油气田，是指水深超过三百米的油气田。</w:t>
      </w:r>
    </w:p>
    <w:p w:rsidR="00974042" w:rsidRPr="00FB08D1" w:rsidRDefault="009F1A2E">
      <w:pPr>
        <w:ind w:firstLine="640"/>
      </w:pPr>
      <w:r w:rsidRPr="00FB08D1">
        <w:rPr>
          <w:rFonts w:ascii="仿宋_GB2312" w:hAnsi="仿宋_GB2312" w:cs="仿宋_GB2312"/>
        </w:rPr>
        <w:t>（五）稠油，是指地层原油粘度大于或等于每秒五十毫帕或原油密度大于或等于每立方厘米零点九二克的原油。</w:t>
      </w:r>
    </w:p>
    <w:p w:rsidR="00974042" w:rsidRPr="00FB08D1" w:rsidRDefault="009F1A2E">
      <w:pPr>
        <w:ind w:firstLine="640"/>
      </w:pPr>
      <w:r w:rsidRPr="00FB08D1">
        <w:rPr>
          <w:rFonts w:ascii="仿宋_GB2312" w:hAnsi="仿宋_GB2312" w:cs="仿宋_GB2312"/>
        </w:rPr>
        <w:t>（六）高凝油，是指凝固点高于四十摄氏度的原油。</w:t>
      </w:r>
    </w:p>
    <w:p w:rsidR="00974042" w:rsidRPr="00FB08D1" w:rsidRDefault="009F1A2E">
      <w:pPr>
        <w:ind w:firstLine="640"/>
      </w:pPr>
      <w:r w:rsidRPr="00FB08D1">
        <w:rPr>
          <w:rFonts w:ascii="仿宋_GB2312" w:hAnsi="仿宋_GB2312" w:cs="仿宋_GB2312"/>
        </w:rPr>
        <w:lastRenderedPageBreak/>
        <w:t>（七）衰竭期矿山，是指设计开采年限超过十五年，且剩余可开采储量下降到原设计可开采储量的百分之二十以下或者剩余开采年限不超过五年的矿山。衰竭期矿山以开采企业下属的单个矿山为单位确定。</w:t>
      </w:r>
    </w:p>
    <w:p w:rsidR="00974042" w:rsidRPr="00FB08D1" w:rsidRDefault="009F1A2E">
      <w:pPr>
        <w:ind w:firstLine="640"/>
        <w:rPr>
          <w:rFonts w:ascii="仿宋_GB2312" w:hAnsi="仿宋_GB2312" w:cs="仿宋_GB2312"/>
        </w:rPr>
      </w:pPr>
      <w:r w:rsidRPr="00FB08D1">
        <w:rPr>
          <w:rFonts w:ascii="黑体" w:eastAsia="黑体" w:hAnsi="黑体" w:cs="黑体"/>
        </w:rPr>
        <w:t>第十七条</w:t>
      </w:r>
      <w:r w:rsidRPr="00FB08D1">
        <w:rPr>
          <w:rFonts w:ascii="仿宋_GB2312" w:hAnsi="仿宋_GB2312" w:cs="仿宋_GB2312"/>
        </w:rPr>
        <w:t xml:space="preserve">  本法自</w:t>
      </w:r>
      <w:r w:rsidRPr="00FB08D1">
        <w:t>2020</w:t>
      </w:r>
      <w:r w:rsidRPr="00FB08D1">
        <w:rPr>
          <w:rFonts w:ascii="仿宋_GB2312" w:hAnsi="仿宋_GB2312" w:cs="仿宋_GB2312"/>
        </w:rPr>
        <w:t>年</w:t>
      </w:r>
      <w:r w:rsidRPr="00FB08D1">
        <w:t>9</w:t>
      </w:r>
      <w:r w:rsidRPr="00FB08D1">
        <w:rPr>
          <w:rFonts w:ascii="仿宋_GB2312" w:hAnsi="仿宋_GB2312" w:cs="仿宋_GB2312"/>
        </w:rPr>
        <w:t>月</w:t>
      </w:r>
      <w:r w:rsidRPr="00FB08D1">
        <w:t>1</w:t>
      </w:r>
      <w:r w:rsidRPr="00FB08D1">
        <w:rPr>
          <w:rFonts w:ascii="仿宋_GB2312" w:hAnsi="仿宋_GB2312" w:cs="仿宋_GB2312"/>
        </w:rPr>
        <w:t>日起施行。</w:t>
      </w:r>
      <w:r w:rsidRPr="00FB08D1">
        <w:t>1993</w:t>
      </w:r>
      <w:r w:rsidRPr="00FB08D1">
        <w:rPr>
          <w:rFonts w:ascii="仿宋_GB2312" w:hAnsi="仿宋_GB2312" w:cs="仿宋_GB2312"/>
        </w:rPr>
        <w:t>年</w:t>
      </w:r>
      <w:r w:rsidRPr="00FB08D1">
        <w:t>12</w:t>
      </w:r>
      <w:r w:rsidRPr="00FB08D1">
        <w:rPr>
          <w:rFonts w:ascii="仿宋_GB2312" w:hAnsi="仿宋_GB2312" w:cs="仿宋_GB2312"/>
        </w:rPr>
        <w:t>月</w:t>
      </w:r>
      <w:r w:rsidRPr="00FB08D1">
        <w:t>25</w:t>
      </w:r>
      <w:r w:rsidRPr="00FB08D1">
        <w:rPr>
          <w:rFonts w:ascii="仿宋_GB2312" w:hAnsi="仿宋_GB2312" w:cs="仿宋_GB2312"/>
        </w:rPr>
        <w:t>日国务院发布的《中华人民共和国资源税暂行条例》同时废止。</w:t>
      </w:r>
    </w:p>
    <w:p w:rsidR="00974042" w:rsidRPr="00FB08D1" w:rsidRDefault="009F1A2E">
      <w:pPr>
        <w:ind w:firstLine="640"/>
        <w:rPr>
          <w:rFonts w:ascii="仿宋_GB2312" w:hAnsi="仿宋_GB2312" w:cs="仿宋_GB2312"/>
          <w:b/>
          <w:bCs/>
        </w:rPr>
      </w:pPr>
      <w:r w:rsidRPr="00FB08D1">
        <w:rPr>
          <w:rFonts w:ascii="仿宋_GB2312" w:hAnsi="仿宋_GB2312" w:cs="仿宋_GB2312" w:hint="eastAsia"/>
          <w:b/>
          <w:bCs/>
        </w:rPr>
        <w:t>附：</w:t>
      </w:r>
    </w:p>
    <w:p w:rsidR="00974042" w:rsidRPr="00FB08D1" w:rsidRDefault="009F1A2E">
      <w:pPr>
        <w:ind w:firstLine="640"/>
        <w:jc w:val="center"/>
        <w:rPr>
          <w:rFonts w:ascii="仿宋_GB2312" w:hAnsi="仿宋_GB2312" w:cs="仿宋_GB2312"/>
          <w:b/>
          <w:bCs/>
          <w:spacing w:val="74"/>
        </w:rPr>
      </w:pPr>
      <w:r w:rsidRPr="00FB08D1">
        <w:rPr>
          <w:rFonts w:ascii="仿宋_GB2312" w:hAnsi="仿宋_GB2312" w:cs="仿宋_GB2312" w:hint="eastAsia"/>
          <w:b/>
          <w:bCs/>
          <w:spacing w:val="74"/>
        </w:rPr>
        <w:t>资源税税目税率表</w:t>
      </w:r>
    </w:p>
    <w:tbl>
      <w:tblPr>
        <w:tblW w:w="8762" w:type="dxa"/>
        <w:tblLayout w:type="fixed"/>
        <w:tblLook w:val="04A0"/>
      </w:tblPr>
      <w:tblGrid>
        <w:gridCol w:w="709"/>
        <w:gridCol w:w="4157"/>
        <w:gridCol w:w="1752"/>
        <w:gridCol w:w="2144"/>
      </w:tblGrid>
      <w:tr w:rsidR="00974042" w:rsidRPr="00FB08D1">
        <w:trPr>
          <w:trHeight w:val="437"/>
        </w:trPr>
        <w:tc>
          <w:tcPr>
            <w:tcW w:w="4866" w:type="dxa"/>
            <w:gridSpan w:val="2"/>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jc w:val="center"/>
              <w:rPr>
                <w:rFonts w:ascii="宋体" w:eastAsia="宋体" w:hAnsi="宋体"/>
                <w:sz w:val="20"/>
              </w:rPr>
            </w:pPr>
            <w:r w:rsidRPr="00FB08D1">
              <w:rPr>
                <w:rFonts w:ascii="宋体" w:eastAsia="宋体" w:hAnsi="宋体" w:hint="eastAsia"/>
                <w:kern w:val="0"/>
                <w:sz w:val="20"/>
              </w:rPr>
              <w:t>税    目</w:t>
            </w:r>
          </w:p>
        </w:tc>
        <w:tc>
          <w:tcPr>
            <w:tcW w:w="1752"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征税对象</w:t>
            </w:r>
          </w:p>
        </w:tc>
        <w:tc>
          <w:tcPr>
            <w:tcW w:w="2144"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税    率</w:t>
            </w:r>
          </w:p>
        </w:tc>
      </w:tr>
      <w:tr w:rsidR="00974042" w:rsidRPr="00FB08D1">
        <w:trPr>
          <w:cantSplit/>
          <w:trHeight w:val="354"/>
        </w:trPr>
        <w:tc>
          <w:tcPr>
            <w:tcW w:w="709" w:type="dxa"/>
            <w:vMerge w:val="restart"/>
            <w:tcBorders>
              <w:top w:val="single" w:sz="6" w:space="0" w:color="auto"/>
              <w:left w:val="single" w:sz="6" w:space="0" w:color="auto"/>
              <w:right w:val="single" w:sz="6" w:space="0" w:color="auto"/>
              <w:tl2br w:val="nil"/>
              <w:tr2bl w:val="nil"/>
            </w:tcBorders>
            <w:vAlign w:val="center"/>
          </w:tcPr>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能源</w:t>
            </w:r>
          </w:p>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矿产</w:t>
            </w:r>
          </w:p>
        </w:tc>
        <w:tc>
          <w:tcPr>
            <w:tcW w:w="4157"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原油</w:t>
            </w:r>
          </w:p>
        </w:tc>
        <w:tc>
          <w:tcPr>
            <w:tcW w:w="1752"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w:t>
            </w:r>
          </w:p>
        </w:tc>
        <w:tc>
          <w:tcPr>
            <w:tcW w:w="2144"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6％</w:t>
            </w:r>
          </w:p>
        </w:tc>
      </w:tr>
      <w:tr w:rsidR="00974042" w:rsidRPr="00FB08D1">
        <w:trPr>
          <w:cantSplit/>
          <w:trHeight w:val="478"/>
        </w:trPr>
        <w:tc>
          <w:tcPr>
            <w:tcW w:w="709"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4157"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天然气、页岩气、天然气水合物</w:t>
            </w:r>
          </w:p>
        </w:tc>
        <w:tc>
          <w:tcPr>
            <w:tcW w:w="1752"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w:t>
            </w:r>
          </w:p>
        </w:tc>
        <w:tc>
          <w:tcPr>
            <w:tcW w:w="2144"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6％</w:t>
            </w:r>
          </w:p>
        </w:tc>
      </w:tr>
      <w:tr w:rsidR="00974042" w:rsidRPr="00FB08D1">
        <w:trPr>
          <w:cantSplit/>
          <w:trHeight w:val="471"/>
        </w:trPr>
        <w:tc>
          <w:tcPr>
            <w:tcW w:w="709"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4157"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煤</w:t>
            </w:r>
          </w:p>
        </w:tc>
        <w:tc>
          <w:tcPr>
            <w:tcW w:w="1752"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44"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2％－10％</w:t>
            </w:r>
          </w:p>
        </w:tc>
      </w:tr>
      <w:tr w:rsidR="00974042" w:rsidRPr="00FB08D1">
        <w:trPr>
          <w:trHeight w:val="478"/>
        </w:trPr>
        <w:tc>
          <w:tcPr>
            <w:tcW w:w="709"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sz w:val="20"/>
              </w:rPr>
            </w:pPr>
          </w:p>
        </w:tc>
        <w:tc>
          <w:tcPr>
            <w:tcW w:w="4157"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煤成(层)气</w:t>
            </w:r>
          </w:p>
        </w:tc>
        <w:tc>
          <w:tcPr>
            <w:tcW w:w="1752"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w:t>
            </w:r>
          </w:p>
        </w:tc>
        <w:tc>
          <w:tcPr>
            <w:tcW w:w="2144"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1％－2％</w:t>
            </w:r>
          </w:p>
        </w:tc>
      </w:tr>
      <w:tr w:rsidR="00974042" w:rsidRPr="00FB08D1">
        <w:trPr>
          <w:cantSplit/>
          <w:trHeight w:val="541"/>
        </w:trPr>
        <w:tc>
          <w:tcPr>
            <w:tcW w:w="709"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sz w:val="20"/>
              </w:rPr>
            </w:pPr>
          </w:p>
        </w:tc>
        <w:tc>
          <w:tcPr>
            <w:tcW w:w="4157"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铀、钍</w:t>
            </w:r>
          </w:p>
        </w:tc>
        <w:tc>
          <w:tcPr>
            <w:tcW w:w="1752"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w:t>
            </w:r>
          </w:p>
        </w:tc>
        <w:tc>
          <w:tcPr>
            <w:tcW w:w="2144"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4％</w:t>
            </w:r>
          </w:p>
        </w:tc>
      </w:tr>
      <w:tr w:rsidR="00974042" w:rsidRPr="00FB08D1">
        <w:trPr>
          <w:cantSplit/>
          <w:trHeight w:val="444"/>
        </w:trPr>
        <w:tc>
          <w:tcPr>
            <w:tcW w:w="709"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4157"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油页岩、油砂、天然沥青、石煤</w:t>
            </w:r>
          </w:p>
        </w:tc>
        <w:tc>
          <w:tcPr>
            <w:tcW w:w="1752"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44"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1％－4％</w:t>
            </w:r>
          </w:p>
        </w:tc>
      </w:tr>
      <w:tr w:rsidR="00974042" w:rsidRPr="00FB08D1">
        <w:trPr>
          <w:cantSplit/>
          <w:trHeight w:val="632"/>
        </w:trPr>
        <w:tc>
          <w:tcPr>
            <w:tcW w:w="709" w:type="dxa"/>
            <w:vMerge/>
            <w:tcBorders>
              <w:left w:val="single" w:sz="6" w:space="0" w:color="auto"/>
              <w:bottom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4157"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地热</w:t>
            </w:r>
          </w:p>
        </w:tc>
        <w:tc>
          <w:tcPr>
            <w:tcW w:w="1752"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w:t>
            </w:r>
          </w:p>
        </w:tc>
        <w:tc>
          <w:tcPr>
            <w:tcW w:w="2144"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1％－20％或者每立方米1</w:t>
            </w:r>
            <w:r w:rsidRPr="00FB08D1">
              <w:rPr>
                <w:rFonts w:ascii="宋体" w:eastAsia="宋体" w:hAnsi="宋体"/>
                <w:kern w:val="0"/>
                <w:sz w:val="20"/>
              </w:rPr>
              <w:t>—</w:t>
            </w:r>
            <w:r w:rsidRPr="00FB08D1">
              <w:rPr>
                <w:rFonts w:ascii="宋体" w:eastAsia="宋体" w:hAnsi="宋体" w:hint="eastAsia"/>
                <w:kern w:val="0"/>
                <w:sz w:val="20"/>
              </w:rPr>
              <w:t>30元</w:t>
            </w:r>
          </w:p>
        </w:tc>
      </w:tr>
    </w:tbl>
    <w:p w:rsidR="00F95E50" w:rsidRPr="00FB08D1" w:rsidRDefault="00F95E50">
      <w:pPr>
        <w:ind w:firstLine="640"/>
        <w:jc w:val="center"/>
        <w:rPr>
          <w:rFonts w:ascii="仿宋_GB2312" w:hAnsi="仿宋_GB2312" w:cs="仿宋_GB2312"/>
          <w:b/>
          <w:bCs/>
          <w:spacing w:val="74"/>
        </w:rPr>
      </w:pPr>
    </w:p>
    <w:tbl>
      <w:tblPr>
        <w:tblW w:w="8762" w:type="dxa"/>
        <w:tblLayout w:type="fixed"/>
        <w:tblLook w:val="04A0"/>
      </w:tblPr>
      <w:tblGrid>
        <w:gridCol w:w="737"/>
        <w:gridCol w:w="1367"/>
        <w:gridCol w:w="2758"/>
        <w:gridCol w:w="1785"/>
        <w:gridCol w:w="2115"/>
      </w:tblGrid>
      <w:tr w:rsidR="00974042" w:rsidRPr="00FB08D1">
        <w:trPr>
          <w:trHeight w:val="472"/>
        </w:trPr>
        <w:tc>
          <w:tcPr>
            <w:tcW w:w="4862" w:type="dxa"/>
            <w:gridSpan w:val="3"/>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税    目</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征税对象</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税    率</w:t>
            </w:r>
          </w:p>
        </w:tc>
      </w:tr>
      <w:tr w:rsidR="00974042" w:rsidRPr="00FB08D1">
        <w:trPr>
          <w:cantSplit/>
          <w:trHeight w:val="541"/>
        </w:trPr>
        <w:tc>
          <w:tcPr>
            <w:tcW w:w="737" w:type="dxa"/>
            <w:vMerge w:val="restart"/>
            <w:tcBorders>
              <w:top w:val="single" w:sz="6" w:space="0" w:color="auto"/>
              <w:left w:val="single" w:sz="6" w:space="0" w:color="auto"/>
              <w:right w:val="single" w:sz="6" w:space="0" w:color="auto"/>
              <w:tl2br w:val="nil"/>
              <w:tr2bl w:val="nil"/>
            </w:tcBorders>
            <w:vAlign w:val="center"/>
          </w:tcPr>
          <w:p w:rsidR="00974042" w:rsidRPr="00FB08D1" w:rsidRDefault="00974042">
            <w:pPr>
              <w:spacing w:line="240" w:lineRule="exact"/>
              <w:ind w:left="-90"/>
              <w:jc w:val="center"/>
              <w:rPr>
                <w:rFonts w:ascii="宋体" w:eastAsia="宋体" w:hAnsi="宋体"/>
                <w:kern w:val="0"/>
                <w:sz w:val="20"/>
              </w:rPr>
            </w:pPr>
          </w:p>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金属</w:t>
            </w:r>
          </w:p>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矿产</w:t>
            </w:r>
          </w:p>
        </w:tc>
        <w:tc>
          <w:tcPr>
            <w:tcW w:w="1367"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黑色金属</w:t>
            </w: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铁、锰、铬、钒、钛</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1％－9％</w:t>
            </w:r>
          </w:p>
        </w:tc>
      </w:tr>
      <w:tr w:rsidR="00974042" w:rsidRPr="00FB08D1">
        <w:trPr>
          <w:cantSplit/>
          <w:trHeight w:val="816"/>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val="restart"/>
            <w:tcBorders>
              <w:top w:val="single" w:sz="6" w:space="0" w:color="auto"/>
              <w:left w:val="single" w:sz="6" w:space="0" w:color="auto"/>
              <w:right w:val="single" w:sz="6" w:space="0" w:color="auto"/>
              <w:tl2br w:val="nil"/>
              <w:tr2bl w:val="nil"/>
            </w:tcBorders>
            <w:vAlign w:val="center"/>
          </w:tcPr>
          <w:p w:rsidR="00974042" w:rsidRPr="00FB08D1" w:rsidRDefault="00974042">
            <w:pPr>
              <w:spacing w:line="240" w:lineRule="exact"/>
              <w:ind w:left="-90"/>
              <w:jc w:val="center"/>
              <w:rPr>
                <w:rFonts w:ascii="宋体" w:eastAsia="宋体" w:hAnsi="宋体"/>
                <w:kern w:val="0"/>
                <w:sz w:val="20"/>
              </w:rPr>
            </w:pPr>
          </w:p>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有色金属</w:t>
            </w: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铜、铅、锌、锡、镍、锑、镁、钴、铋、汞</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2％－10％</w:t>
            </w:r>
          </w:p>
        </w:tc>
      </w:tr>
      <w:tr w:rsidR="00974042" w:rsidRPr="00FB08D1">
        <w:trPr>
          <w:cantSplit/>
          <w:trHeight w:val="547"/>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铝土矿</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2％－9％</w:t>
            </w:r>
          </w:p>
        </w:tc>
      </w:tr>
      <w:tr w:rsidR="00974042" w:rsidRPr="00FB08D1">
        <w:trPr>
          <w:cantSplit/>
          <w:trHeight w:val="547"/>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钨</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6．5％</w:t>
            </w:r>
          </w:p>
        </w:tc>
      </w:tr>
      <w:tr w:rsidR="00974042" w:rsidRPr="00FB08D1">
        <w:trPr>
          <w:cantSplit/>
          <w:trHeight w:val="547"/>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钼</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8％</w:t>
            </w:r>
          </w:p>
        </w:tc>
      </w:tr>
      <w:tr w:rsidR="00974042" w:rsidRPr="00FB08D1">
        <w:trPr>
          <w:cantSplit/>
          <w:trHeight w:val="552"/>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金、银</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2％－6％</w:t>
            </w:r>
          </w:p>
        </w:tc>
      </w:tr>
      <w:tr w:rsidR="00974042" w:rsidRPr="00FB08D1">
        <w:trPr>
          <w:cantSplit/>
          <w:trHeight w:val="541"/>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铂、钯、钌、锇、铱、铑</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5％－10％</w:t>
            </w:r>
          </w:p>
        </w:tc>
      </w:tr>
      <w:tr w:rsidR="00974042" w:rsidRPr="00FB08D1">
        <w:trPr>
          <w:cantSplit/>
          <w:trHeight w:val="547"/>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轻稀土</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7％－12％</w:t>
            </w:r>
          </w:p>
        </w:tc>
      </w:tr>
      <w:tr w:rsidR="00974042" w:rsidRPr="00FB08D1">
        <w:trPr>
          <w:cantSplit/>
          <w:trHeight w:val="547"/>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中重稀土</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20％</w:t>
            </w:r>
          </w:p>
        </w:tc>
      </w:tr>
      <w:tr w:rsidR="00974042" w:rsidRPr="00FB08D1">
        <w:trPr>
          <w:cantSplit/>
          <w:trHeight w:val="1123"/>
        </w:trPr>
        <w:tc>
          <w:tcPr>
            <w:tcW w:w="737" w:type="dxa"/>
            <w:vMerge/>
            <w:tcBorders>
              <w:left w:val="single" w:sz="6" w:space="0" w:color="auto"/>
              <w:bottom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bottom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rPr>
                <w:rFonts w:ascii="宋体" w:eastAsia="宋体" w:hAnsi="宋体"/>
                <w:sz w:val="20"/>
              </w:rPr>
            </w:pPr>
            <w:r w:rsidRPr="00FB08D1">
              <w:rPr>
                <w:rFonts w:ascii="宋体" w:eastAsia="宋体" w:hAnsi="宋体" w:hint="eastAsia"/>
                <w:kern w:val="0"/>
                <w:sz w:val="20"/>
              </w:rPr>
              <w:t>铍、锂、锆、锶、铷、铯、铌、钽、锗、镓、铟、铊、铪、铼、镉、硒、碲</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2％－10％</w:t>
            </w:r>
          </w:p>
        </w:tc>
      </w:tr>
      <w:tr w:rsidR="00974042" w:rsidRPr="00FB08D1">
        <w:trPr>
          <w:cantSplit/>
          <w:trHeight w:val="541"/>
        </w:trPr>
        <w:tc>
          <w:tcPr>
            <w:tcW w:w="737" w:type="dxa"/>
            <w:vMerge w:val="restart"/>
            <w:tcBorders>
              <w:top w:val="single" w:sz="6" w:space="0" w:color="auto"/>
              <w:left w:val="single" w:sz="6" w:space="0" w:color="auto"/>
              <w:right w:val="single" w:sz="6" w:space="0" w:color="auto"/>
              <w:tl2br w:val="nil"/>
              <w:tr2bl w:val="nil"/>
            </w:tcBorders>
            <w:vAlign w:val="center"/>
          </w:tcPr>
          <w:p w:rsidR="00974042" w:rsidRPr="00FB08D1" w:rsidRDefault="00974042">
            <w:pPr>
              <w:spacing w:line="240" w:lineRule="exact"/>
              <w:ind w:left="-90"/>
              <w:jc w:val="center"/>
              <w:rPr>
                <w:rFonts w:ascii="宋体" w:eastAsia="宋体" w:hAnsi="宋体"/>
                <w:kern w:val="0"/>
                <w:sz w:val="20"/>
              </w:rPr>
            </w:pPr>
          </w:p>
          <w:p w:rsidR="00974042" w:rsidRPr="00FB08D1" w:rsidRDefault="00974042">
            <w:pPr>
              <w:spacing w:line="240" w:lineRule="exact"/>
              <w:ind w:left="-90"/>
              <w:jc w:val="center"/>
              <w:rPr>
                <w:rFonts w:ascii="宋体" w:eastAsia="宋体" w:hAnsi="宋体"/>
                <w:kern w:val="0"/>
                <w:sz w:val="20"/>
              </w:rPr>
            </w:pPr>
          </w:p>
          <w:p w:rsidR="00974042" w:rsidRPr="00FB08D1" w:rsidRDefault="00974042">
            <w:pPr>
              <w:spacing w:line="240" w:lineRule="exact"/>
              <w:ind w:left="-90"/>
              <w:jc w:val="center"/>
              <w:rPr>
                <w:rFonts w:ascii="宋体" w:eastAsia="宋体" w:hAnsi="宋体"/>
                <w:kern w:val="0"/>
                <w:sz w:val="20"/>
              </w:rPr>
            </w:pPr>
          </w:p>
          <w:p w:rsidR="00974042" w:rsidRPr="00FB08D1" w:rsidRDefault="00974042">
            <w:pPr>
              <w:spacing w:line="240" w:lineRule="exact"/>
              <w:ind w:left="-90"/>
              <w:jc w:val="center"/>
              <w:rPr>
                <w:rFonts w:ascii="宋体" w:eastAsia="宋体" w:hAnsi="宋体"/>
                <w:kern w:val="0"/>
                <w:sz w:val="20"/>
              </w:rPr>
            </w:pPr>
          </w:p>
          <w:p w:rsidR="00974042" w:rsidRPr="00FB08D1" w:rsidRDefault="009F1A2E">
            <w:pPr>
              <w:spacing w:line="240" w:lineRule="exact"/>
              <w:ind w:left="-90"/>
              <w:jc w:val="center"/>
              <w:rPr>
                <w:rFonts w:ascii="宋体" w:eastAsia="宋体" w:hAnsi="宋体"/>
                <w:kern w:val="0"/>
                <w:sz w:val="20"/>
              </w:rPr>
            </w:pPr>
            <w:r w:rsidRPr="00FB08D1">
              <w:rPr>
                <w:rFonts w:ascii="宋体" w:eastAsia="宋体" w:hAnsi="宋体" w:hint="eastAsia"/>
                <w:kern w:val="0"/>
                <w:sz w:val="20"/>
              </w:rPr>
              <w:t>非金属</w:t>
            </w:r>
          </w:p>
          <w:p w:rsidR="00974042" w:rsidRPr="00FB08D1" w:rsidRDefault="009F1A2E">
            <w:pPr>
              <w:spacing w:line="240" w:lineRule="exact"/>
              <w:ind w:left="-90"/>
              <w:jc w:val="center"/>
              <w:rPr>
                <w:rFonts w:ascii="宋体" w:eastAsia="宋体" w:hAnsi="宋体"/>
                <w:sz w:val="20"/>
              </w:rPr>
            </w:pPr>
            <w:r w:rsidRPr="00FB08D1">
              <w:rPr>
                <w:rFonts w:ascii="宋体" w:eastAsia="宋体" w:hAnsi="宋体" w:hint="eastAsia"/>
                <w:kern w:val="0"/>
                <w:sz w:val="20"/>
              </w:rPr>
              <w:t>矿产</w:t>
            </w:r>
          </w:p>
        </w:tc>
        <w:tc>
          <w:tcPr>
            <w:tcW w:w="1367" w:type="dxa"/>
            <w:vMerge w:val="restart"/>
            <w:tcBorders>
              <w:top w:val="single" w:sz="6" w:space="0" w:color="auto"/>
              <w:left w:val="single" w:sz="6" w:space="0" w:color="auto"/>
              <w:right w:val="single" w:sz="6" w:space="0" w:color="auto"/>
              <w:tl2br w:val="nil"/>
              <w:tr2bl w:val="nil"/>
            </w:tcBorders>
            <w:vAlign w:val="center"/>
          </w:tcPr>
          <w:p w:rsidR="00974042" w:rsidRPr="00FB08D1" w:rsidRDefault="00974042">
            <w:pPr>
              <w:spacing w:line="240" w:lineRule="exact"/>
              <w:ind w:left="-90"/>
              <w:jc w:val="center"/>
              <w:rPr>
                <w:rFonts w:ascii="宋体" w:eastAsia="宋体" w:hAnsi="宋体"/>
                <w:kern w:val="0"/>
                <w:sz w:val="20"/>
              </w:rPr>
            </w:pPr>
          </w:p>
          <w:p w:rsidR="00974042" w:rsidRPr="00FB08D1" w:rsidRDefault="00974042">
            <w:pPr>
              <w:spacing w:line="240" w:lineRule="exact"/>
              <w:ind w:left="-90"/>
              <w:jc w:val="center"/>
              <w:rPr>
                <w:rFonts w:ascii="宋体" w:eastAsia="宋体" w:hAnsi="宋体"/>
                <w:kern w:val="0"/>
                <w:sz w:val="20"/>
              </w:rPr>
            </w:pPr>
          </w:p>
          <w:p w:rsidR="00974042" w:rsidRPr="00FB08D1" w:rsidRDefault="00974042">
            <w:pPr>
              <w:spacing w:line="240" w:lineRule="exact"/>
              <w:ind w:left="-90"/>
              <w:jc w:val="center"/>
              <w:rPr>
                <w:rFonts w:ascii="宋体" w:eastAsia="宋体" w:hAnsi="宋体"/>
                <w:kern w:val="0"/>
                <w:sz w:val="20"/>
              </w:rPr>
            </w:pPr>
          </w:p>
          <w:p w:rsidR="00974042" w:rsidRPr="00FB08D1" w:rsidRDefault="00974042">
            <w:pPr>
              <w:spacing w:line="240" w:lineRule="exact"/>
              <w:ind w:left="-90"/>
              <w:jc w:val="center"/>
              <w:rPr>
                <w:rFonts w:ascii="宋体" w:eastAsia="宋体" w:hAnsi="宋体"/>
                <w:kern w:val="0"/>
                <w:sz w:val="20"/>
              </w:rPr>
            </w:pPr>
          </w:p>
          <w:p w:rsidR="00974042" w:rsidRPr="00FB08D1" w:rsidRDefault="009F1A2E">
            <w:pPr>
              <w:spacing w:line="240" w:lineRule="exact"/>
              <w:ind w:left="-90"/>
              <w:jc w:val="center"/>
              <w:rPr>
                <w:rFonts w:ascii="宋体" w:eastAsia="宋体" w:hAnsi="宋体"/>
                <w:kern w:val="0"/>
                <w:sz w:val="20"/>
              </w:rPr>
            </w:pPr>
            <w:r w:rsidRPr="00FB08D1">
              <w:rPr>
                <w:rFonts w:ascii="宋体" w:eastAsia="宋体" w:hAnsi="宋体" w:hint="eastAsia"/>
                <w:kern w:val="0"/>
                <w:sz w:val="20"/>
              </w:rPr>
              <w:t>矿物类</w:t>
            </w:r>
          </w:p>
          <w:p w:rsidR="00974042" w:rsidRPr="00FB08D1" w:rsidRDefault="00974042">
            <w:pPr>
              <w:spacing w:line="240" w:lineRule="exact"/>
              <w:ind w:left="-90"/>
              <w:jc w:val="center"/>
              <w:rPr>
                <w:rFonts w:ascii="宋体" w:eastAsia="宋体" w:hAnsi="宋体"/>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高岭土</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1％－6％</w:t>
            </w:r>
          </w:p>
        </w:tc>
      </w:tr>
      <w:tr w:rsidR="00974042" w:rsidRPr="00FB08D1">
        <w:trPr>
          <w:cantSplit/>
          <w:trHeight w:val="812"/>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石灰岩</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1％－6％或者每吨(或者每立方米)1－10元</w:t>
            </w:r>
          </w:p>
        </w:tc>
      </w:tr>
      <w:tr w:rsidR="00974042" w:rsidRPr="00FB08D1">
        <w:trPr>
          <w:cantSplit/>
          <w:trHeight w:val="547"/>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磷</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3％－8％</w:t>
            </w:r>
          </w:p>
        </w:tc>
      </w:tr>
      <w:tr w:rsidR="00974042" w:rsidRPr="00FB08D1">
        <w:trPr>
          <w:cantSplit/>
          <w:trHeight w:val="541"/>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石墨</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3％－12％</w:t>
            </w:r>
          </w:p>
        </w:tc>
      </w:tr>
      <w:tr w:rsidR="00974042" w:rsidRPr="00FB08D1">
        <w:trPr>
          <w:cantSplit/>
          <w:trHeight w:val="541"/>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萤石、硫铁矿、自然硫</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1％－8％</w:t>
            </w:r>
          </w:p>
        </w:tc>
      </w:tr>
      <w:tr w:rsidR="00974042" w:rsidRPr="00FB08D1">
        <w:trPr>
          <w:cantSplit/>
          <w:trHeight w:val="2989"/>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天然石英砂、脉石英、粉石英、水晶、工业用金刚石、冰洲石、蓝晶石、硅线石(矽线石)、长石、滑石、刚玉、菱镁矿、颜料矿物、天然碱、芒硝、钠硝石、明矾石、砷、硼、碘、溴、膨润土、硅藻土、陶瓷土、耐火粘土、铁矾土、凹凸棒石粘土、海泡石粘土、伊利石粘土、累托石粘土</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74042">
            <w:pPr>
              <w:spacing w:line="240" w:lineRule="exact"/>
              <w:ind w:left="-90"/>
              <w:rPr>
                <w:rFonts w:ascii="宋体" w:eastAsia="宋体" w:hAnsi="宋体"/>
                <w:kern w:val="0"/>
                <w:sz w:val="20"/>
              </w:rPr>
            </w:pPr>
          </w:p>
          <w:p w:rsidR="00974042" w:rsidRPr="00FB08D1" w:rsidRDefault="00974042">
            <w:pPr>
              <w:spacing w:line="240" w:lineRule="exact"/>
              <w:ind w:left="-90"/>
              <w:rPr>
                <w:rFonts w:ascii="宋体" w:eastAsia="宋体" w:hAnsi="宋体"/>
                <w:kern w:val="0"/>
                <w:sz w:val="20"/>
              </w:rPr>
            </w:pPr>
          </w:p>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kern w:val="0"/>
                <w:sz w:val="20"/>
              </w:rPr>
            </w:pPr>
            <w:r w:rsidRPr="00FB08D1">
              <w:rPr>
                <w:rFonts w:ascii="宋体" w:eastAsia="宋体" w:hAnsi="宋体" w:hint="eastAsia"/>
                <w:kern w:val="0"/>
                <w:sz w:val="20"/>
              </w:rPr>
              <w:t>原矿或者选矿</w:t>
            </w:r>
          </w:p>
          <w:p w:rsidR="00974042" w:rsidRPr="00FB08D1" w:rsidRDefault="00974042">
            <w:pPr>
              <w:spacing w:line="240" w:lineRule="exact"/>
              <w:ind w:left="-90"/>
              <w:rPr>
                <w:rFonts w:ascii="宋体" w:eastAsia="宋体" w:hAnsi="宋体"/>
                <w:sz w:val="20"/>
              </w:rPr>
            </w:pP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74042">
            <w:pPr>
              <w:spacing w:line="240" w:lineRule="exact"/>
              <w:ind w:left="-90"/>
              <w:rPr>
                <w:rFonts w:ascii="宋体" w:eastAsia="宋体" w:hAnsi="宋体"/>
                <w:kern w:val="0"/>
                <w:sz w:val="20"/>
              </w:rPr>
            </w:pPr>
          </w:p>
          <w:p w:rsidR="00974042" w:rsidRPr="00FB08D1" w:rsidRDefault="00974042">
            <w:pPr>
              <w:spacing w:line="240" w:lineRule="exact"/>
              <w:ind w:left="-90"/>
              <w:rPr>
                <w:rFonts w:ascii="宋体" w:eastAsia="宋体" w:hAnsi="宋体"/>
                <w:kern w:val="0"/>
                <w:sz w:val="20"/>
              </w:rPr>
            </w:pPr>
          </w:p>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kern w:val="0"/>
                <w:sz w:val="20"/>
              </w:rPr>
            </w:pPr>
            <w:r w:rsidRPr="00FB08D1">
              <w:rPr>
                <w:rFonts w:ascii="宋体" w:eastAsia="宋体" w:hAnsi="宋体" w:hint="eastAsia"/>
                <w:kern w:val="0"/>
                <w:sz w:val="20"/>
              </w:rPr>
              <w:t>1％－12％</w:t>
            </w:r>
          </w:p>
          <w:p w:rsidR="00974042" w:rsidRPr="00FB08D1" w:rsidRDefault="00974042">
            <w:pPr>
              <w:spacing w:line="240" w:lineRule="exact"/>
              <w:ind w:left="-90"/>
              <w:rPr>
                <w:rFonts w:ascii="宋体" w:eastAsia="宋体" w:hAnsi="宋体"/>
                <w:sz w:val="20"/>
              </w:rPr>
            </w:pPr>
          </w:p>
        </w:tc>
      </w:tr>
      <w:tr w:rsidR="00974042" w:rsidRPr="00FB08D1">
        <w:trPr>
          <w:cantSplit/>
          <w:trHeight w:val="1693"/>
        </w:trPr>
        <w:tc>
          <w:tcPr>
            <w:tcW w:w="73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叶蜡石、硅灰石、透辉石、珍珠岩、云母、沸石、重晶石、毒重石、方解石、蛭石、透闪石、工业用电气石、白垩、石棉、蓝石棉、红柱石、石榴子石、石膏</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2％－12％</w:t>
            </w:r>
          </w:p>
        </w:tc>
      </w:tr>
      <w:tr w:rsidR="00974042" w:rsidRPr="00FB08D1">
        <w:trPr>
          <w:cantSplit/>
          <w:trHeight w:val="1716"/>
        </w:trPr>
        <w:tc>
          <w:tcPr>
            <w:tcW w:w="737" w:type="dxa"/>
            <w:vMerge/>
            <w:tcBorders>
              <w:left w:val="single" w:sz="6" w:space="0" w:color="auto"/>
              <w:bottom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1367" w:type="dxa"/>
            <w:vMerge/>
            <w:tcBorders>
              <w:left w:val="single" w:sz="6" w:space="0" w:color="auto"/>
              <w:bottom w:val="single" w:sz="6" w:space="0" w:color="auto"/>
              <w:right w:val="single" w:sz="6" w:space="0" w:color="auto"/>
              <w:tl2br w:val="nil"/>
              <w:tr2bl w:val="nil"/>
            </w:tcBorders>
          </w:tcPr>
          <w:p w:rsidR="00974042" w:rsidRPr="00FB08D1" w:rsidRDefault="00974042">
            <w:pPr>
              <w:spacing w:line="240" w:lineRule="exact"/>
              <w:ind w:left="-90"/>
              <w:jc w:val="left"/>
              <w:rPr>
                <w:rFonts w:ascii="宋体" w:eastAsia="宋体" w:hAnsi="宋体"/>
                <w:kern w:val="0"/>
                <w:sz w:val="20"/>
              </w:rPr>
            </w:pPr>
          </w:p>
        </w:tc>
        <w:tc>
          <w:tcPr>
            <w:tcW w:w="2758"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其他粘土(铸型用粘土、砖瓦用粘土、陶粒用粘土、水泥配料用粘土、水泥配料用红土、水泥配料用黄土、水泥配料用泥岩、保温材料用粘土)</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原矿或者选矿</w:t>
            </w:r>
          </w:p>
        </w:tc>
        <w:tc>
          <w:tcPr>
            <w:tcW w:w="211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0"/>
              <w:rPr>
                <w:rFonts w:ascii="宋体" w:eastAsia="宋体" w:hAnsi="宋体"/>
                <w:kern w:val="0"/>
                <w:sz w:val="20"/>
              </w:rPr>
            </w:pPr>
          </w:p>
          <w:p w:rsidR="00974042" w:rsidRPr="00FB08D1" w:rsidRDefault="009F1A2E">
            <w:pPr>
              <w:spacing w:line="240" w:lineRule="exact"/>
              <w:ind w:left="-90"/>
              <w:rPr>
                <w:rFonts w:ascii="宋体" w:eastAsia="宋体" w:hAnsi="宋体"/>
                <w:sz w:val="20"/>
              </w:rPr>
            </w:pPr>
            <w:r w:rsidRPr="00FB08D1">
              <w:rPr>
                <w:rFonts w:ascii="宋体" w:eastAsia="宋体" w:hAnsi="宋体" w:hint="eastAsia"/>
                <w:kern w:val="0"/>
                <w:sz w:val="20"/>
              </w:rPr>
              <w:t>1％－5％或者每吨(或者每立方米)0．1－5元</w:t>
            </w:r>
          </w:p>
        </w:tc>
      </w:tr>
    </w:tbl>
    <w:p w:rsidR="00974042" w:rsidRPr="00FB08D1" w:rsidRDefault="00974042">
      <w:pPr>
        <w:ind w:firstLine="640"/>
        <w:rPr>
          <w:rFonts w:ascii="仿宋_GB2312" w:hAnsi="仿宋_GB2312" w:cs="仿宋_GB2312"/>
          <w:b/>
          <w:bCs/>
        </w:rPr>
      </w:pPr>
      <w:bookmarkStart w:id="2" w:name="_GoBack"/>
      <w:bookmarkEnd w:id="2"/>
    </w:p>
    <w:tbl>
      <w:tblPr>
        <w:tblW w:w="8732" w:type="dxa"/>
        <w:tblInd w:w="28" w:type="dxa"/>
        <w:tblLayout w:type="fixed"/>
        <w:tblLook w:val="04A0"/>
      </w:tblPr>
      <w:tblGrid>
        <w:gridCol w:w="722"/>
        <w:gridCol w:w="1380"/>
        <w:gridCol w:w="2745"/>
        <w:gridCol w:w="1785"/>
        <w:gridCol w:w="2100"/>
      </w:tblGrid>
      <w:tr w:rsidR="00974042" w:rsidRPr="00FB08D1">
        <w:trPr>
          <w:trHeight w:val="471"/>
        </w:trPr>
        <w:tc>
          <w:tcPr>
            <w:tcW w:w="4847" w:type="dxa"/>
            <w:gridSpan w:val="3"/>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jc w:val="center"/>
              <w:rPr>
                <w:rFonts w:ascii="宋体" w:eastAsia="宋体" w:hAnsi="宋体"/>
                <w:sz w:val="20"/>
              </w:rPr>
            </w:pPr>
            <w:r w:rsidRPr="00FB08D1">
              <w:rPr>
                <w:rFonts w:ascii="宋体" w:eastAsia="宋体" w:hAnsi="宋体" w:hint="eastAsia"/>
                <w:kern w:val="0"/>
                <w:sz w:val="20"/>
              </w:rPr>
              <w:t>税    目</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jc w:val="center"/>
              <w:rPr>
                <w:rFonts w:ascii="宋体" w:eastAsia="宋体" w:hAnsi="宋体"/>
                <w:sz w:val="20"/>
              </w:rPr>
            </w:pPr>
            <w:r w:rsidRPr="00FB08D1">
              <w:rPr>
                <w:rFonts w:ascii="宋体" w:eastAsia="宋体" w:hAnsi="宋体" w:hint="eastAsia"/>
                <w:kern w:val="0"/>
                <w:sz w:val="20"/>
              </w:rPr>
              <w:t>征税对象</w:t>
            </w:r>
          </w:p>
        </w:tc>
        <w:tc>
          <w:tcPr>
            <w:tcW w:w="210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jc w:val="center"/>
              <w:rPr>
                <w:rFonts w:ascii="宋体" w:eastAsia="宋体" w:hAnsi="宋体"/>
                <w:sz w:val="20"/>
              </w:rPr>
            </w:pPr>
            <w:r w:rsidRPr="00FB08D1">
              <w:rPr>
                <w:rFonts w:ascii="宋体" w:eastAsia="宋体" w:hAnsi="宋体" w:hint="eastAsia"/>
                <w:kern w:val="0"/>
                <w:sz w:val="20"/>
              </w:rPr>
              <w:t>税    率</w:t>
            </w:r>
          </w:p>
        </w:tc>
      </w:tr>
      <w:tr w:rsidR="00974042" w:rsidRPr="00FB08D1">
        <w:trPr>
          <w:cantSplit/>
          <w:trHeight w:val="2782"/>
        </w:trPr>
        <w:tc>
          <w:tcPr>
            <w:tcW w:w="722" w:type="dxa"/>
            <w:vMerge w:val="restart"/>
            <w:tcBorders>
              <w:top w:val="single" w:sz="6" w:space="0" w:color="auto"/>
              <w:left w:val="single" w:sz="6" w:space="0" w:color="auto"/>
              <w:right w:val="single" w:sz="6" w:space="0" w:color="auto"/>
              <w:tl2br w:val="nil"/>
              <w:tr2bl w:val="nil"/>
            </w:tcBorders>
            <w:vAlign w:val="center"/>
          </w:tcPr>
          <w:p w:rsidR="00974042" w:rsidRPr="00FB08D1" w:rsidRDefault="00974042">
            <w:pPr>
              <w:spacing w:line="240" w:lineRule="exact"/>
              <w:ind w:left="-91"/>
              <w:jc w:val="center"/>
              <w:rPr>
                <w:rFonts w:ascii="宋体" w:eastAsia="宋体" w:hAnsi="宋体"/>
                <w:kern w:val="0"/>
                <w:sz w:val="20"/>
              </w:rPr>
            </w:pPr>
          </w:p>
        </w:tc>
        <w:tc>
          <w:tcPr>
            <w:tcW w:w="138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74042">
            <w:pPr>
              <w:spacing w:line="240" w:lineRule="exact"/>
              <w:ind w:left="-91"/>
              <w:rPr>
                <w:rFonts w:ascii="宋体" w:eastAsia="宋体" w:hAnsi="宋体"/>
                <w:kern w:val="0"/>
                <w:sz w:val="20"/>
              </w:rPr>
            </w:pPr>
          </w:p>
          <w:p w:rsidR="00974042" w:rsidRPr="00FB08D1" w:rsidRDefault="00974042">
            <w:pPr>
              <w:spacing w:line="240" w:lineRule="exact"/>
              <w:ind w:left="-91"/>
              <w:rPr>
                <w:rFonts w:ascii="宋体" w:eastAsia="宋体" w:hAnsi="宋体"/>
                <w:kern w:val="0"/>
                <w:sz w:val="20"/>
              </w:rPr>
            </w:pPr>
          </w:p>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kern w:val="0"/>
                <w:sz w:val="20"/>
              </w:rPr>
            </w:pPr>
            <w:r w:rsidRPr="00FB08D1">
              <w:rPr>
                <w:rFonts w:ascii="宋体" w:eastAsia="宋体" w:hAnsi="宋体" w:hint="eastAsia"/>
                <w:kern w:val="0"/>
                <w:sz w:val="20"/>
              </w:rPr>
              <w:t>岩石类</w:t>
            </w:r>
          </w:p>
          <w:p w:rsidR="00974042" w:rsidRPr="00FB08D1" w:rsidRDefault="00974042">
            <w:pPr>
              <w:spacing w:line="240" w:lineRule="exact"/>
              <w:ind w:left="-91"/>
              <w:rPr>
                <w:rFonts w:ascii="宋体" w:eastAsia="宋体" w:hAnsi="宋体"/>
                <w:sz w:val="20"/>
              </w:rPr>
            </w:pPr>
          </w:p>
        </w:tc>
        <w:tc>
          <w:tcPr>
            <w:tcW w:w="274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大理岩、花岗岩、白云岩、石英岩、砂岩、辉绿岩、安山岩、闪长岩、板岩、玄武岩、片麻岩、角闪岩、页岩、浮石、凝灰岩、黑曜岩、霞石正长岩、蛇纹岩、麦饭石、泥灰岩、含钾岩石、含钾砂页岩、天然油石、橄榄岩、松脂岩、粗面岩、辉长岩、辉石岩、正长岩、火山灰、火山渣、泥炭</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74042">
            <w:pPr>
              <w:spacing w:line="240" w:lineRule="exact"/>
              <w:ind w:left="-91"/>
              <w:rPr>
                <w:rFonts w:ascii="宋体" w:eastAsia="宋体" w:hAnsi="宋体"/>
                <w:kern w:val="0"/>
                <w:sz w:val="20"/>
              </w:rPr>
            </w:pPr>
          </w:p>
          <w:p w:rsidR="00974042" w:rsidRPr="00FB08D1" w:rsidRDefault="00974042">
            <w:pPr>
              <w:spacing w:line="240" w:lineRule="exact"/>
              <w:ind w:left="-91"/>
              <w:rPr>
                <w:rFonts w:ascii="宋体" w:eastAsia="宋体" w:hAnsi="宋体"/>
                <w:kern w:val="0"/>
                <w:sz w:val="20"/>
              </w:rPr>
            </w:pPr>
          </w:p>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kern w:val="0"/>
                <w:sz w:val="20"/>
              </w:rPr>
            </w:pPr>
            <w:r w:rsidRPr="00FB08D1">
              <w:rPr>
                <w:rFonts w:ascii="宋体" w:eastAsia="宋体" w:hAnsi="宋体" w:hint="eastAsia"/>
                <w:kern w:val="0"/>
                <w:sz w:val="20"/>
              </w:rPr>
              <w:t>原矿或者选矿</w:t>
            </w:r>
          </w:p>
          <w:p w:rsidR="00974042" w:rsidRPr="00FB08D1" w:rsidRDefault="00974042">
            <w:pPr>
              <w:spacing w:line="240" w:lineRule="exact"/>
              <w:ind w:left="-91"/>
              <w:rPr>
                <w:rFonts w:ascii="宋体" w:eastAsia="宋体" w:hAnsi="宋体"/>
                <w:sz w:val="20"/>
              </w:rPr>
            </w:pPr>
          </w:p>
        </w:tc>
        <w:tc>
          <w:tcPr>
            <w:tcW w:w="210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74042">
            <w:pPr>
              <w:spacing w:line="240" w:lineRule="exact"/>
              <w:ind w:left="-91"/>
              <w:rPr>
                <w:rFonts w:ascii="宋体" w:eastAsia="宋体" w:hAnsi="宋体"/>
                <w:kern w:val="0"/>
                <w:sz w:val="20"/>
              </w:rPr>
            </w:pPr>
          </w:p>
          <w:p w:rsidR="00974042" w:rsidRPr="00FB08D1" w:rsidRDefault="00974042">
            <w:pPr>
              <w:spacing w:line="240" w:lineRule="exact"/>
              <w:ind w:left="-91"/>
              <w:rPr>
                <w:rFonts w:ascii="宋体" w:eastAsia="宋体" w:hAnsi="宋体"/>
                <w:kern w:val="0"/>
                <w:sz w:val="20"/>
              </w:rPr>
            </w:pPr>
          </w:p>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kern w:val="0"/>
                <w:sz w:val="20"/>
              </w:rPr>
            </w:pPr>
            <w:r w:rsidRPr="00FB08D1">
              <w:rPr>
                <w:rFonts w:ascii="宋体" w:eastAsia="宋体" w:hAnsi="宋体" w:hint="eastAsia"/>
                <w:kern w:val="0"/>
                <w:sz w:val="20"/>
              </w:rPr>
              <w:t>1％－10％</w:t>
            </w:r>
          </w:p>
          <w:p w:rsidR="00974042" w:rsidRPr="00FB08D1" w:rsidRDefault="00974042">
            <w:pPr>
              <w:spacing w:line="240" w:lineRule="exact"/>
              <w:ind w:left="-91"/>
              <w:rPr>
                <w:rFonts w:ascii="宋体" w:eastAsia="宋体" w:hAnsi="宋体"/>
                <w:sz w:val="20"/>
              </w:rPr>
            </w:pPr>
          </w:p>
        </w:tc>
      </w:tr>
      <w:tr w:rsidR="00974042" w:rsidRPr="00FB08D1">
        <w:trPr>
          <w:cantSplit/>
          <w:trHeight w:val="1134"/>
        </w:trPr>
        <w:tc>
          <w:tcPr>
            <w:tcW w:w="722" w:type="dxa"/>
            <w:vMerge/>
            <w:tcBorders>
              <w:left w:val="single" w:sz="6" w:space="0" w:color="auto"/>
              <w:right w:val="single" w:sz="6" w:space="0" w:color="auto"/>
              <w:tl2br w:val="nil"/>
              <w:tr2bl w:val="nil"/>
            </w:tcBorders>
            <w:vAlign w:val="center"/>
          </w:tcPr>
          <w:p w:rsidR="00974042" w:rsidRPr="00FB08D1" w:rsidRDefault="00974042">
            <w:pPr>
              <w:spacing w:line="240" w:lineRule="exact"/>
              <w:ind w:left="-91"/>
              <w:jc w:val="center"/>
              <w:rPr>
                <w:rFonts w:ascii="宋体" w:eastAsia="宋体" w:hAnsi="宋体"/>
                <w:kern w:val="0"/>
                <w:sz w:val="20"/>
              </w:rPr>
            </w:pPr>
          </w:p>
        </w:tc>
        <w:tc>
          <w:tcPr>
            <w:tcW w:w="138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tc>
        <w:tc>
          <w:tcPr>
            <w:tcW w:w="274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 xml:space="preserve">砂石   　　</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原矿或者选矿</w:t>
            </w:r>
          </w:p>
        </w:tc>
        <w:tc>
          <w:tcPr>
            <w:tcW w:w="210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1％－5％或者每吨(或者每立方米)0．1－5元</w:t>
            </w:r>
          </w:p>
        </w:tc>
      </w:tr>
      <w:tr w:rsidR="00974042" w:rsidRPr="00FB08D1">
        <w:trPr>
          <w:cantSplit/>
          <w:trHeight w:val="760"/>
        </w:trPr>
        <w:tc>
          <w:tcPr>
            <w:tcW w:w="722" w:type="dxa"/>
            <w:vMerge/>
            <w:tcBorders>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jc w:val="center"/>
              <w:rPr>
                <w:rFonts w:ascii="宋体" w:eastAsia="宋体" w:hAnsi="宋体"/>
                <w:kern w:val="0"/>
                <w:sz w:val="20"/>
              </w:rPr>
            </w:pPr>
          </w:p>
        </w:tc>
        <w:tc>
          <w:tcPr>
            <w:tcW w:w="138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宝玉石类</w:t>
            </w:r>
          </w:p>
        </w:tc>
        <w:tc>
          <w:tcPr>
            <w:tcW w:w="274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宝石、玉石、宝石级金刚石、玛瑙、黄玉、碧玺</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原矿或者选矿</w:t>
            </w:r>
          </w:p>
        </w:tc>
        <w:tc>
          <w:tcPr>
            <w:tcW w:w="210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4％－20％</w:t>
            </w:r>
          </w:p>
        </w:tc>
      </w:tr>
      <w:tr w:rsidR="00974042" w:rsidRPr="00FB08D1">
        <w:trPr>
          <w:trHeight w:val="506"/>
        </w:trPr>
        <w:tc>
          <w:tcPr>
            <w:tcW w:w="722" w:type="dxa"/>
            <w:vMerge w:val="restart"/>
            <w:tcBorders>
              <w:top w:val="single" w:sz="6" w:space="0" w:color="auto"/>
              <w:left w:val="single" w:sz="6" w:space="0" w:color="auto"/>
              <w:right w:val="single" w:sz="6" w:space="0" w:color="auto"/>
              <w:tl2br w:val="nil"/>
              <w:tr2bl w:val="nil"/>
            </w:tcBorders>
            <w:vAlign w:val="center"/>
          </w:tcPr>
          <w:p w:rsidR="00974042" w:rsidRPr="00FB08D1" w:rsidRDefault="009F1A2E">
            <w:pPr>
              <w:spacing w:line="240" w:lineRule="exact"/>
              <w:ind w:left="-91"/>
              <w:jc w:val="center"/>
              <w:rPr>
                <w:rFonts w:ascii="宋体" w:eastAsia="宋体" w:hAnsi="宋体"/>
                <w:kern w:val="0"/>
                <w:sz w:val="20"/>
              </w:rPr>
            </w:pPr>
            <w:r w:rsidRPr="00FB08D1">
              <w:rPr>
                <w:rFonts w:ascii="宋体" w:eastAsia="宋体" w:hAnsi="宋体" w:hint="eastAsia"/>
                <w:kern w:val="0"/>
                <w:sz w:val="20"/>
              </w:rPr>
              <w:t>水气</w:t>
            </w:r>
          </w:p>
          <w:p w:rsidR="00974042" w:rsidRPr="00FB08D1" w:rsidRDefault="009F1A2E">
            <w:pPr>
              <w:spacing w:line="240" w:lineRule="exact"/>
              <w:ind w:left="-91"/>
              <w:jc w:val="center"/>
              <w:rPr>
                <w:rFonts w:ascii="宋体" w:eastAsia="宋体" w:hAnsi="宋体"/>
                <w:sz w:val="20"/>
              </w:rPr>
            </w:pPr>
            <w:r w:rsidRPr="00FB08D1">
              <w:rPr>
                <w:rFonts w:ascii="宋体" w:eastAsia="宋体" w:hAnsi="宋体" w:hint="eastAsia"/>
                <w:kern w:val="0"/>
                <w:sz w:val="20"/>
              </w:rPr>
              <w:t>矿产</w:t>
            </w:r>
          </w:p>
        </w:tc>
        <w:tc>
          <w:tcPr>
            <w:tcW w:w="4125" w:type="dxa"/>
            <w:gridSpan w:val="2"/>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二氧化碳气、硫化氢气、氦气、氡气</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原矿</w:t>
            </w:r>
          </w:p>
        </w:tc>
        <w:tc>
          <w:tcPr>
            <w:tcW w:w="210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2％－5％</w:t>
            </w:r>
          </w:p>
        </w:tc>
      </w:tr>
      <w:tr w:rsidR="00974042" w:rsidRPr="00FB08D1">
        <w:trPr>
          <w:trHeight w:val="754"/>
        </w:trPr>
        <w:tc>
          <w:tcPr>
            <w:tcW w:w="722" w:type="dxa"/>
            <w:vMerge/>
            <w:tcBorders>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jc w:val="center"/>
              <w:rPr>
                <w:rFonts w:ascii="宋体" w:eastAsia="宋体" w:hAnsi="宋体"/>
                <w:sz w:val="20"/>
              </w:rPr>
            </w:pPr>
          </w:p>
        </w:tc>
        <w:tc>
          <w:tcPr>
            <w:tcW w:w="4125" w:type="dxa"/>
            <w:gridSpan w:val="2"/>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矿泉水</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原矿</w:t>
            </w:r>
          </w:p>
        </w:tc>
        <w:tc>
          <w:tcPr>
            <w:tcW w:w="210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1％－20％或者每立方米1－30元</w:t>
            </w:r>
          </w:p>
        </w:tc>
      </w:tr>
      <w:tr w:rsidR="00974042" w:rsidRPr="00FB08D1">
        <w:trPr>
          <w:trHeight w:val="501"/>
        </w:trPr>
        <w:tc>
          <w:tcPr>
            <w:tcW w:w="722" w:type="dxa"/>
            <w:vMerge w:val="restart"/>
            <w:tcBorders>
              <w:top w:val="single" w:sz="6" w:space="0" w:color="auto"/>
              <w:left w:val="single" w:sz="6" w:space="0" w:color="auto"/>
              <w:right w:val="single" w:sz="6" w:space="0" w:color="auto"/>
              <w:tl2br w:val="nil"/>
              <w:tr2bl w:val="nil"/>
            </w:tcBorders>
            <w:vAlign w:val="center"/>
          </w:tcPr>
          <w:p w:rsidR="00974042" w:rsidRPr="00FB08D1" w:rsidRDefault="00974042">
            <w:pPr>
              <w:spacing w:line="240" w:lineRule="exact"/>
              <w:ind w:left="-91"/>
              <w:jc w:val="center"/>
              <w:rPr>
                <w:rFonts w:ascii="宋体" w:eastAsia="宋体" w:hAnsi="宋体"/>
                <w:kern w:val="0"/>
                <w:sz w:val="20"/>
              </w:rPr>
            </w:pPr>
          </w:p>
          <w:p w:rsidR="00974042" w:rsidRPr="00FB08D1" w:rsidRDefault="009F1A2E">
            <w:pPr>
              <w:spacing w:line="240" w:lineRule="exact"/>
              <w:ind w:left="-91"/>
              <w:jc w:val="center"/>
              <w:rPr>
                <w:rFonts w:ascii="宋体" w:eastAsia="宋体" w:hAnsi="宋体"/>
                <w:sz w:val="20"/>
              </w:rPr>
            </w:pPr>
            <w:r w:rsidRPr="00FB08D1">
              <w:rPr>
                <w:rFonts w:ascii="宋体" w:eastAsia="宋体" w:hAnsi="宋体" w:hint="eastAsia"/>
                <w:kern w:val="0"/>
                <w:sz w:val="20"/>
              </w:rPr>
              <w:t>盐</w:t>
            </w:r>
          </w:p>
        </w:tc>
        <w:tc>
          <w:tcPr>
            <w:tcW w:w="4125" w:type="dxa"/>
            <w:gridSpan w:val="2"/>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钠盐、钾盐、镁盐、锂盐</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选矿</w:t>
            </w:r>
          </w:p>
        </w:tc>
        <w:tc>
          <w:tcPr>
            <w:tcW w:w="210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3％－15％</w:t>
            </w:r>
          </w:p>
        </w:tc>
      </w:tr>
      <w:tr w:rsidR="00974042" w:rsidRPr="00FB08D1">
        <w:trPr>
          <w:cantSplit/>
          <w:trHeight w:val="1134"/>
        </w:trPr>
        <w:tc>
          <w:tcPr>
            <w:tcW w:w="722" w:type="dxa"/>
            <w:vMerge/>
            <w:tcBorders>
              <w:left w:val="single" w:sz="6" w:space="0" w:color="auto"/>
              <w:right w:val="single" w:sz="6" w:space="0" w:color="auto"/>
              <w:tl2br w:val="nil"/>
              <w:tr2bl w:val="nil"/>
            </w:tcBorders>
          </w:tcPr>
          <w:p w:rsidR="00974042" w:rsidRPr="00FB08D1" w:rsidRDefault="00974042">
            <w:pPr>
              <w:spacing w:line="240" w:lineRule="exact"/>
              <w:ind w:left="-91"/>
              <w:jc w:val="left"/>
              <w:rPr>
                <w:rFonts w:ascii="宋体" w:eastAsia="宋体" w:hAnsi="宋体"/>
                <w:sz w:val="20"/>
              </w:rPr>
            </w:pPr>
          </w:p>
        </w:tc>
        <w:tc>
          <w:tcPr>
            <w:tcW w:w="4125" w:type="dxa"/>
            <w:gridSpan w:val="2"/>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天然卤水</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kern w:val="0"/>
                <w:sz w:val="20"/>
              </w:rPr>
            </w:pPr>
          </w:p>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原矿</w:t>
            </w:r>
          </w:p>
        </w:tc>
        <w:tc>
          <w:tcPr>
            <w:tcW w:w="210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3％－15％或者每吨(或者每立方米)1－10元</w:t>
            </w:r>
          </w:p>
        </w:tc>
      </w:tr>
      <w:tr w:rsidR="00974042" w:rsidRPr="00FB08D1">
        <w:trPr>
          <w:cantSplit/>
          <w:trHeight w:val="501"/>
        </w:trPr>
        <w:tc>
          <w:tcPr>
            <w:tcW w:w="722" w:type="dxa"/>
            <w:vMerge/>
            <w:tcBorders>
              <w:left w:val="single" w:sz="6" w:space="0" w:color="auto"/>
              <w:bottom w:val="single" w:sz="6" w:space="0" w:color="auto"/>
              <w:right w:val="single" w:sz="6" w:space="0" w:color="auto"/>
              <w:tl2br w:val="nil"/>
              <w:tr2bl w:val="nil"/>
            </w:tcBorders>
          </w:tcPr>
          <w:p w:rsidR="00974042" w:rsidRPr="00FB08D1" w:rsidRDefault="00974042">
            <w:pPr>
              <w:spacing w:line="240" w:lineRule="exact"/>
              <w:ind w:left="-91"/>
              <w:jc w:val="left"/>
              <w:rPr>
                <w:rFonts w:ascii="宋体" w:eastAsia="宋体" w:hAnsi="宋体"/>
                <w:kern w:val="0"/>
                <w:sz w:val="20"/>
              </w:rPr>
            </w:pPr>
          </w:p>
        </w:tc>
        <w:tc>
          <w:tcPr>
            <w:tcW w:w="4125" w:type="dxa"/>
            <w:gridSpan w:val="2"/>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海盐</w:t>
            </w:r>
          </w:p>
        </w:tc>
        <w:tc>
          <w:tcPr>
            <w:tcW w:w="1785"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74042">
            <w:pPr>
              <w:spacing w:line="240" w:lineRule="exact"/>
              <w:ind w:left="-91"/>
              <w:rPr>
                <w:rFonts w:ascii="宋体" w:eastAsia="宋体" w:hAnsi="宋体"/>
                <w:sz w:val="20"/>
              </w:rPr>
            </w:pPr>
          </w:p>
        </w:tc>
        <w:tc>
          <w:tcPr>
            <w:tcW w:w="2100" w:type="dxa"/>
            <w:tcBorders>
              <w:top w:val="single" w:sz="6" w:space="0" w:color="auto"/>
              <w:left w:val="single" w:sz="6" w:space="0" w:color="auto"/>
              <w:bottom w:val="single" w:sz="6" w:space="0" w:color="auto"/>
              <w:right w:val="single" w:sz="6" w:space="0" w:color="auto"/>
              <w:tl2br w:val="nil"/>
              <w:tr2bl w:val="nil"/>
            </w:tcBorders>
            <w:vAlign w:val="center"/>
          </w:tcPr>
          <w:p w:rsidR="00974042" w:rsidRPr="00FB08D1" w:rsidRDefault="009F1A2E">
            <w:pPr>
              <w:spacing w:line="240" w:lineRule="exact"/>
              <w:ind w:left="-91"/>
              <w:rPr>
                <w:rFonts w:ascii="宋体" w:eastAsia="宋体" w:hAnsi="宋体"/>
                <w:sz w:val="20"/>
              </w:rPr>
            </w:pPr>
            <w:r w:rsidRPr="00FB08D1">
              <w:rPr>
                <w:rFonts w:ascii="宋体" w:eastAsia="宋体" w:hAnsi="宋体" w:hint="eastAsia"/>
                <w:kern w:val="0"/>
                <w:sz w:val="20"/>
              </w:rPr>
              <w:t>2％－5％</w:t>
            </w:r>
          </w:p>
        </w:tc>
      </w:tr>
    </w:tbl>
    <w:p w:rsidR="00974042" w:rsidRPr="00FB08D1" w:rsidRDefault="00974042">
      <w:pPr>
        <w:ind w:firstLine="640"/>
        <w:rPr>
          <w:rFonts w:ascii="仿宋_GB2312" w:hAnsi="仿宋_GB2312" w:cs="仿宋_GB2312"/>
          <w:b/>
          <w:bCs/>
        </w:rPr>
      </w:pPr>
    </w:p>
    <w:p w:rsidR="00974042" w:rsidRPr="00FB08D1" w:rsidRDefault="00974042">
      <w:pPr>
        <w:ind w:firstLine="640"/>
        <w:rPr>
          <w:rFonts w:ascii="仿宋_GB2312" w:hAnsi="仿宋_GB2312" w:cs="仿宋_GB2312"/>
          <w:b/>
          <w:bCs/>
        </w:rPr>
      </w:pPr>
    </w:p>
    <w:sectPr w:rsidR="00974042" w:rsidRPr="00FB08D1" w:rsidSect="00974042">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5A1" w:rsidRDefault="00FA55A1" w:rsidP="00974042">
      <w:r>
        <w:separator/>
      </w:r>
    </w:p>
  </w:endnote>
  <w:endnote w:type="continuationSeparator" w:id="0">
    <w:p w:rsidR="00FA55A1" w:rsidRDefault="00FA55A1" w:rsidP="009740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042" w:rsidRDefault="009F1A2E">
    <w:pPr>
      <w:pStyle w:val="a3"/>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88648D">
      <w:rPr>
        <w:rFonts w:ascii="宋体" w:hAnsi="宋体"/>
        <w:sz w:val="28"/>
        <w:szCs w:val="28"/>
      </w:rPr>
      <w:fldChar w:fldCharType="begin"/>
    </w:r>
    <w:r>
      <w:rPr>
        <w:rFonts w:ascii="宋体" w:hAnsi="宋体"/>
        <w:sz w:val="28"/>
        <w:szCs w:val="28"/>
      </w:rPr>
      <w:instrText>PAGE   \* MERGEFORMAT</w:instrText>
    </w:r>
    <w:r w:rsidR="0088648D">
      <w:rPr>
        <w:rFonts w:ascii="宋体" w:hAnsi="宋体"/>
        <w:sz w:val="28"/>
        <w:szCs w:val="28"/>
      </w:rPr>
      <w:fldChar w:fldCharType="separate"/>
    </w:r>
    <w:r w:rsidR="00FB08D1" w:rsidRPr="00FB08D1">
      <w:rPr>
        <w:rFonts w:ascii="宋体" w:hAnsi="宋体"/>
        <w:noProof/>
        <w:sz w:val="28"/>
        <w:szCs w:val="28"/>
        <w:lang w:val="zh-CN"/>
      </w:rPr>
      <w:t>8</w:t>
    </w:r>
    <w:r w:rsidR="0088648D">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042" w:rsidRDefault="009F1A2E">
    <w:pPr>
      <w:pStyle w:val="a3"/>
      <w:wordWrap w:val="0"/>
      <w:jc w:val="right"/>
    </w:pPr>
    <w:r>
      <w:rPr>
        <w:rFonts w:ascii="宋体" w:hAnsi="宋体" w:hint="eastAsia"/>
        <w:sz w:val="28"/>
        <w:szCs w:val="28"/>
      </w:rPr>
      <w:t>－</w:t>
    </w:r>
    <w:r w:rsidR="0088648D">
      <w:rPr>
        <w:rFonts w:ascii="宋体" w:hAnsi="宋体"/>
        <w:sz w:val="28"/>
        <w:szCs w:val="28"/>
      </w:rPr>
      <w:fldChar w:fldCharType="begin"/>
    </w:r>
    <w:r>
      <w:rPr>
        <w:rFonts w:ascii="宋体" w:hAnsi="宋体"/>
        <w:sz w:val="28"/>
        <w:szCs w:val="28"/>
      </w:rPr>
      <w:instrText>PAGE   \* MERGEFORMAT</w:instrText>
    </w:r>
    <w:r w:rsidR="0088648D">
      <w:rPr>
        <w:rFonts w:ascii="宋体" w:hAnsi="宋体"/>
        <w:sz w:val="28"/>
        <w:szCs w:val="28"/>
      </w:rPr>
      <w:fldChar w:fldCharType="separate"/>
    </w:r>
    <w:r w:rsidR="00FB08D1" w:rsidRPr="00FB08D1">
      <w:rPr>
        <w:rFonts w:ascii="宋体" w:hAnsi="宋体"/>
        <w:noProof/>
        <w:sz w:val="28"/>
        <w:szCs w:val="28"/>
        <w:lang w:val="zh-CN"/>
      </w:rPr>
      <w:t>1</w:t>
    </w:r>
    <w:r w:rsidR="0088648D">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5A1" w:rsidRDefault="00FA55A1" w:rsidP="00974042">
      <w:r>
        <w:separator/>
      </w:r>
    </w:p>
  </w:footnote>
  <w:footnote w:type="continuationSeparator" w:id="0">
    <w:p w:rsidR="00FA55A1" w:rsidRDefault="00FA55A1" w:rsidP="009740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8648D"/>
    <w:rsid w:val="008A10A6"/>
    <w:rsid w:val="008D0DC5"/>
    <w:rsid w:val="00937399"/>
    <w:rsid w:val="00974042"/>
    <w:rsid w:val="009D4E62"/>
    <w:rsid w:val="009F1A2E"/>
    <w:rsid w:val="00A07177"/>
    <w:rsid w:val="00A87604"/>
    <w:rsid w:val="00AF2C07"/>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5E50"/>
    <w:rsid w:val="00F97604"/>
    <w:rsid w:val="00FA55A1"/>
    <w:rsid w:val="00FA7EE2"/>
    <w:rsid w:val="00FB08D1"/>
    <w:rsid w:val="00FD0030"/>
    <w:rsid w:val="05C90FF8"/>
    <w:rsid w:val="63B84B6B"/>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042"/>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974042"/>
    <w:pPr>
      <w:tabs>
        <w:tab w:val="center" w:pos="4153"/>
        <w:tab w:val="right" w:pos="8306"/>
      </w:tabs>
      <w:snapToGrid w:val="0"/>
      <w:jc w:val="left"/>
    </w:pPr>
    <w:rPr>
      <w:rFonts w:eastAsia="宋体"/>
      <w:kern w:val="0"/>
      <w:sz w:val="18"/>
      <w:szCs w:val="18"/>
      <w:lang/>
    </w:rPr>
  </w:style>
  <w:style w:type="paragraph" w:styleId="a4">
    <w:name w:val="header"/>
    <w:basedOn w:val="a"/>
    <w:link w:val="Char0"/>
    <w:uiPriority w:val="99"/>
    <w:unhideWhenUsed/>
    <w:rsid w:val="00974042"/>
    <w:pPr>
      <w:pBdr>
        <w:bottom w:val="single" w:sz="6" w:space="1" w:color="auto"/>
      </w:pBdr>
      <w:tabs>
        <w:tab w:val="center" w:pos="4153"/>
        <w:tab w:val="right" w:pos="8306"/>
      </w:tabs>
      <w:snapToGrid w:val="0"/>
      <w:jc w:val="center"/>
    </w:pPr>
    <w:rPr>
      <w:rFonts w:eastAsia="宋体"/>
      <w:kern w:val="0"/>
      <w:sz w:val="18"/>
      <w:szCs w:val="18"/>
      <w:lang/>
    </w:rPr>
  </w:style>
  <w:style w:type="character" w:styleId="a5">
    <w:name w:val="FollowedHyperlink"/>
    <w:uiPriority w:val="99"/>
    <w:semiHidden/>
    <w:unhideWhenUsed/>
    <w:qFormat/>
    <w:rsid w:val="00974042"/>
    <w:rPr>
      <w:color w:val="954F72"/>
      <w:u w:val="single"/>
    </w:rPr>
  </w:style>
  <w:style w:type="character" w:styleId="a6">
    <w:name w:val="Hyperlink"/>
    <w:uiPriority w:val="99"/>
    <w:qFormat/>
    <w:rsid w:val="00974042"/>
    <w:rPr>
      <w:rFonts w:ascii="ˎ̥" w:hAnsi="ˎ̥" w:hint="default"/>
      <w:color w:val="0404B3"/>
      <w:sz w:val="18"/>
      <w:szCs w:val="18"/>
      <w:u w:val="none"/>
    </w:rPr>
  </w:style>
  <w:style w:type="character" w:customStyle="1" w:styleId="Char0">
    <w:name w:val="页眉 Char"/>
    <w:link w:val="a4"/>
    <w:uiPriority w:val="99"/>
    <w:qFormat/>
    <w:rsid w:val="00974042"/>
    <w:rPr>
      <w:sz w:val="18"/>
      <w:szCs w:val="18"/>
    </w:rPr>
  </w:style>
  <w:style w:type="character" w:customStyle="1" w:styleId="Char">
    <w:name w:val="页脚 Char"/>
    <w:link w:val="a3"/>
    <w:uiPriority w:val="99"/>
    <w:qFormat/>
    <w:rsid w:val="00974042"/>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D61EA-8A52-4DDF-9E3F-F5258A27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9</cp:revision>
  <dcterms:created xsi:type="dcterms:W3CDTF">2017-11-15T02:33:00Z</dcterms:created>
  <dcterms:modified xsi:type="dcterms:W3CDTF">2019-12-21T03:22:00Z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