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中华人民共和国车船税法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（2011年2月25日第十一届全国人民代表大会常务委员会第十九次会议通过）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第一条</w:t>
      </w:r>
      <w:r>
        <w:rPr>
          <w:rFonts w:hint="eastAsia" w:ascii="Times New Roman" w:hAnsi="Times New Roman" w:cs="Arial"/>
          <w:kern w:val="0"/>
          <w:szCs w:val="32"/>
        </w:rPr>
        <w:t>　在中华人民共和国境内属于本法所附《车船税税目税额表》规定的车辆、船舶（以下简称车船）的所有人或者管理人，为车船税的纳税人，应当依照本法缴纳车船税。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第二条</w:t>
      </w:r>
      <w:r>
        <w:rPr>
          <w:rFonts w:hint="eastAsia" w:ascii="Times New Roman" w:hAnsi="Times New Roman" w:cs="Arial"/>
          <w:kern w:val="0"/>
          <w:szCs w:val="32"/>
        </w:rPr>
        <w:t>　车船的适用税额依照本法所附《车船税税目税额表》执行。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车辆的具体适用税额由省、自治区、直辖市人民政府依照本法所附《车船税税目税额表》规定的税额幅度和国务院的规定确定。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船舶的具体适用税额由国务院在本法所附《车船税税目税额表》规定的税额幅度内确定。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第三条</w:t>
      </w:r>
      <w:r>
        <w:rPr>
          <w:rFonts w:hint="eastAsia" w:ascii="Times New Roman" w:hAnsi="Times New Roman" w:cs="Arial"/>
          <w:kern w:val="0"/>
          <w:szCs w:val="32"/>
        </w:rPr>
        <w:t>　下列车船免征车船税: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（一）捕捞、养殖渔船；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（二）军队、武装警察部队专用的车船；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（三）警用车船；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（四）依照法律规定应当予以免税的外国驻华使领馆、国际组织驻华代表机构及其有关人员的车船。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第四条</w:t>
      </w:r>
      <w:r>
        <w:rPr>
          <w:rFonts w:hint="eastAsia" w:ascii="Times New Roman" w:hAnsi="Times New Roman" w:cs="Arial"/>
          <w:kern w:val="0"/>
          <w:szCs w:val="32"/>
        </w:rPr>
        <w:t>　对节约能源、使用新能源的车船可以减征或者免征车船税；对受严重自然灾害影响纳税困难以及有其他特殊原因确需减税、免税的，可以减征或者免征车船税。具体办法由国务院规定，并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第五条</w:t>
      </w:r>
      <w:r>
        <w:rPr>
          <w:rFonts w:hint="eastAsia" w:ascii="Times New Roman" w:hAnsi="Times New Roman" w:cs="Arial"/>
          <w:kern w:val="0"/>
          <w:szCs w:val="32"/>
        </w:rPr>
        <w:t>　省、自治区、直辖市人民政府根据当地实际情况，可以对公共交通车船，农村居民拥有并主要在农村地区使用的摩托车、三轮汽车和低速载货汽车定期减征或者免征车船税。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第六条</w:t>
      </w:r>
      <w:r>
        <w:rPr>
          <w:rFonts w:hint="eastAsia" w:ascii="Times New Roman" w:hAnsi="Times New Roman" w:cs="Arial"/>
          <w:kern w:val="0"/>
          <w:szCs w:val="32"/>
        </w:rPr>
        <w:t>　从事机动车第三者责任强制保险业务的保险机构为机动车车船税的扣缴义务人，应当在收取保险费时依法代收车船税，并出具代收税款凭证。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第七条</w:t>
      </w:r>
      <w:r>
        <w:rPr>
          <w:rFonts w:hint="eastAsia" w:ascii="Times New Roman" w:hAnsi="Times New Roman" w:cs="Arial"/>
          <w:kern w:val="0"/>
          <w:szCs w:val="32"/>
        </w:rPr>
        <w:t>　车船税的纳税地点为车船的登记地或者车船税扣缴义务人所在地。依法不需要办理登记的车船，车船税的纳税地点为车船的所有人或者管理人所在地。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第八条</w:t>
      </w:r>
      <w:r>
        <w:rPr>
          <w:rFonts w:hint="eastAsia" w:ascii="Times New Roman" w:hAnsi="Times New Roman" w:cs="Arial"/>
          <w:kern w:val="0"/>
          <w:szCs w:val="32"/>
        </w:rPr>
        <w:t>　车船税纳税义务发生时间为取得车船所有权或者管理权的当月。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第九条</w:t>
      </w:r>
      <w:r>
        <w:rPr>
          <w:rFonts w:hint="eastAsia" w:ascii="Times New Roman" w:hAnsi="Times New Roman" w:cs="Arial"/>
          <w:kern w:val="0"/>
          <w:szCs w:val="32"/>
        </w:rPr>
        <w:t>　车船税按年申报缴纳。具体申报纳税期限由省、自治区、直辖市人民政府规定。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第十条</w:t>
      </w:r>
      <w:r>
        <w:rPr>
          <w:rFonts w:hint="eastAsia" w:ascii="Times New Roman" w:hAnsi="Times New Roman" w:cs="Arial"/>
          <w:kern w:val="0"/>
          <w:szCs w:val="32"/>
        </w:rPr>
        <w:t>　公安、交通运输、农业、渔业等车船登记管理部门、船舶检验机构和车船税扣缴义务人的行业主管部门应当在提供车船有关信息等方面，协助税务机关加强车船税的征收管理。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车辆所有人或者管理人在申请办理车辆相关登记、定期检验手续时，应当向公安机关交通管理部门提交依法纳税或者免税证明。公安机关交通管理部门核查后办理相关手续。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车船税的征收管理，依照本法和《中华人民共和国税收征收管理法》的规定执行。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国务院根据本法制定实施条例。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本法自2012年1月1日起施行。2006年12月29日国务院公布的《中华人民共和国车船税暂行条例》同时废止。</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val="en-US" w:eastAsia="zh-CN"/>
        </w:rPr>
      </w:pPr>
      <w:r>
        <w:rPr>
          <w:rFonts w:hint="eastAsia" w:ascii="Times New Roman" w:hAnsi="Times New Roman" w:eastAsia="黑体" w:cs="黑体"/>
          <w:kern w:val="0"/>
          <w:szCs w:val="32"/>
          <w:lang w:val="en-US" w:eastAsia="zh-CN"/>
        </w:rPr>
        <w:t>车船税</w:t>
      </w:r>
      <w:bookmarkStart w:id="0" w:name="_GoBack"/>
      <w:bookmarkEnd w:id="0"/>
      <w:r>
        <w:rPr>
          <w:rFonts w:hint="eastAsia" w:ascii="Times New Roman" w:hAnsi="Times New Roman" w:eastAsia="黑体" w:cs="黑体"/>
          <w:kern w:val="0"/>
          <w:szCs w:val="32"/>
          <w:lang w:val="en-US" w:eastAsia="zh-CN"/>
        </w:rPr>
        <w:t>税目税额表</w:t>
      </w:r>
    </w:p>
    <w:tbl>
      <w:tblPr>
        <w:tblStyle w:val="21"/>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73"/>
        <w:gridCol w:w="2738"/>
        <w:gridCol w:w="1490"/>
        <w:gridCol w:w="1797"/>
        <w:gridCol w:w="1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361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 w:val="21"/>
                <w:szCs w:val="21"/>
                <w:vertAlign w:val="baseline"/>
                <w:lang w:val="en-US" w:eastAsia="zh-CN"/>
              </w:rPr>
            </w:pPr>
            <w:r>
              <w:rPr>
                <w:rFonts w:hint="eastAsia" w:ascii="黑体" w:hAnsi="黑体" w:eastAsia="黑体" w:cs="黑体"/>
                <w:kern w:val="0"/>
                <w:sz w:val="21"/>
                <w:szCs w:val="21"/>
                <w:vertAlign w:val="baseline"/>
                <w:lang w:val="en-US" w:eastAsia="zh-CN"/>
              </w:rPr>
              <w:t>税目</w:t>
            </w:r>
          </w:p>
        </w:tc>
        <w:tc>
          <w:tcPr>
            <w:tcW w:w="149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 w:val="21"/>
                <w:szCs w:val="21"/>
                <w:vertAlign w:val="baseline"/>
                <w:lang w:val="en-US" w:eastAsia="zh-CN"/>
              </w:rPr>
            </w:pPr>
            <w:r>
              <w:rPr>
                <w:rFonts w:hint="eastAsia" w:ascii="黑体" w:hAnsi="黑体" w:eastAsia="黑体" w:cs="黑体"/>
                <w:kern w:val="0"/>
                <w:sz w:val="21"/>
                <w:szCs w:val="21"/>
                <w:vertAlign w:val="baseline"/>
                <w:lang w:val="en-US" w:eastAsia="zh-CN"/>
              </w:rPr>
              <w:t>计税单位</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 w:val="21"/>
                <w:szCs w:val="21"/>
                <w:vertAlign w:val="baseline"/>
                <w:lang w:val="en-US" w:eastAsia="zh-CN"/>
              </w:rPr>
            </w:pPr>
            <w:r>
              <w:rPr>
                <w:rFonts w:hint="eastAsia" w:ascii="黑体" w:hAnsi="黑体" w:eastAsia="黑体" w:cs="黑体"/>
                <w:kern w:val="0"/>
                <w:sz w:val="21"/>
                <w:szCs w:val="21"/>
                <w:vertAlign w:val="baseline"/>
                <w:lang w:val="en-US" w:eastAsia="zh-CN"/>
              </w:rPr>
              <w:t>年基准税额</w:t>
            </w:r>
          </w:p>
        </w:tc>
        <w:tc>
          <w:tcPr>
            <w:tcW w:w="160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 w:val="21"/>
                <w:szCs w:val="21"/>
                <w:vertAlign w:val="baseline"/>
                <w:lang w:val="en-US" w:eastAsia="zh-CN"/>
              </w:rPr>
            </w:pPr>
            <w:r>
              <w:rPr>
                <w:rFonts w:hint="eastAsia" w:ascii="黑体" w:hAnsi="黑体" w:eastAsia="黑体" w:cs="黑体"/>
                <w:kern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restart"/>
            <w:textDirection w:val="tbLrV"/>
            <w:vAlign w:val="center"/>
          </w:tcPr>
          <w:p>
            <w:pPr>
              <w:keepNext w:val="0"/>
              <w:keepLines w:val="0"/>
              <w:pageBreakBefore w:val="0"/>
              <w:widowControl w:val="0"/>
              <w:kinsoku/>
              <w:wordWrap/>
              <w:overflowPunct/>
              <w:topLinePunct w:val="0"/>
              <w:autoSpaceDE/>
              <w:autoSpaceDN/>
              <w:bidi w:val="0"/>
              <w:adjustRightInd/>
              <w:snapToGrid/>
              <w:spacing w:line="240" w:lineRule="atLeast"/>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乘用车︹按发动机汽缸</w:t>
            </w:r>
          </w:p>
          <w:p>
            <w:pPr>
              <w:keepNext w:val="0"/>
              <w:keepLines w:val="0"/>
              <w:pageBreakBefore w:val="0"/>
              <w:widowControl w:val="0"/>
              <w:kinsoku/>
              <w:wordWrap/>
              <w:overflowPunct/>
              <w:topLinePunct w:val="0"/>
              <w:autoSpaceDE/>
              <w:autoSpaceDN/>
              <w:bidi w:val="0"/>
              <w:adjustRightInd/>
              <w:snapToGrid/>
              <w:spacing w:line="240" w:lineRule="atLeas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容量（排气量）分档︺</w:t>
            </w: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1.0升（含）以下的</w:t>
            </w:r>
          </w:p>
        </w:tc>
        <w:tc>
          <w:tcPr>
            <w:tcW w:w="1490"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每辆</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60元至360元</w:t>
            </w:r>
          </w:p>
        </w:tc>
        <w:tc>
          <w:tcPr>
            <w:tcW w:w="1606"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核定载客人数9人（含）以下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1.0升以上至1.6升（含）的</w:t>
            </w:r>
          </w:p>
        </w:tc>
        <w:tc>
          <w:tcPr>
            <w:tcW w:w="1490"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300元至540元</w:t>
            </w:r>
          </w:p>
        </w:tc>
        <w:tc>
          <w:tcPr>
            <w:tcW w:w="1606"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1.6升以上至2.0升（含）的</w:t>
            </w:r>
          </w:p>
        </w:tc>
        <w:tc>
          <w:tcPr>
            <w:tcW w:w="1490"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360元至660元</w:t>
            </w:r>
          </w:p>
        </w:tc>
        <w:tc>
          <w:tcPr>
            <w:tcW w:w="1606"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2.0升以上至2.5升（含）的</w:t>
            </w:r>
          </w:p>
        </w:tc>
        <w:tc>
          <w:tcPr>
            <w:tcW w:w="1490"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660元至1200元</w:t>
            </w:r>
          </w:p>
        </w:tc>
        <w:tc>
          <w:tcPr>
            <w:tcW w:w="1606"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2.5升以上至3.0升（含）的</w:t>
            </w:r>
          </w:p>
        </w:tc>
        <w:tc>
          <w:tcPr>
            <w:tcW w:w="1490"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1200元至2400元</w:t>
            </w:r>
          </w:p>
        </w:tc>
        <w:tc>
          <w:tcPr>
            <w:tcW w:w="1606"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３.0升以上至4.0升（含）的</w:t>
            </w:r>
          </w:p>
        </w:tc>
        <w:tc>
          <w:tcPr>
            <w:tcW w:w="1490"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2400元至3600元</w:t>
            </w:r>
          </w:p>
        </w:tc>
        <w:tc>
          <w:tcPr>
            <w:tcW w:w="1606"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4.0升以上的</w:t>
            </w:r>
          </w:p>
        </w:tc>
        <w:tc>
          <w:tcPr>
            <w:tcW w:w="1490"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3600元至5400元</w:t>
            </w:r>
          </w:p>
        </w:tc>
        <w:tc>
          <w:tcPr>
            <w:tcW w:w="1606"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6" w:hRule="exact"/>
          <w:jc w:val="center"/>
        </w:trPr>
        <w:tc>
          <w:tcPr>
            <w:tcW w:w="873"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商用车</w:t>
            </w: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客车</w:t>
            </w:r>
          </w:p>
        </w:tc>
        <w:tc>
          <w:tcPr>
            <w:tcW w:w="149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每辆</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480元至1440元</w:t>
            </w:r>
          </w:p>
        </w:tc>
        <w:tc>
          <w:tcPr>
            <w:tcW w:w="160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核定载客人数9人以上，包括电车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76"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货车</w:t>
            </w:r>
          </w:p>
        </w:tc>
        <w:tc>
          <w:tcPr>
            <w:tcW w:w="149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整备质量每吨</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16元至120元</w:t>
            </w:r>
          </w:p>
        </w:tc>
        <w:tc>
          <w:tcPr>
            <w:tcW w:w="160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包括半挂牵引车、三轮汽车和低速载货汽车等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97" w:hRule="exact"/>
          <w:jc w:val="center"/>
        </w:trPr>
        <w:tc>
          <w:tcPr>
            <w:tcW w:w="87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挂车</w:t>
            </w: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p>
        </w:tc>
        <w:tc>
          <w:tcPr>
            <w:tcW w:w="149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整备质量每吨</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按照货车税额的50%计算</w:t>
            </w:r>
          </w:p>
        </w:tc>
        <w:tc>
          <w:tcPr>
            <w:tcW w:w="160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其他</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车辆</w:t>
            </w: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专用作业车</w:t>
            </w:r>
          </w:p>
        </w:tc>
        <w:tc>
          <w:tcPr>
            <w:tcW w:w="1490"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整备质量每吨</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16元至120元</w:t>
            </w:r>
          </w:p>
        </w:tc>
        <w:tc>
          <w:tcPr>
            <w:tcW w:w="1606"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不包括拖拉机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轮式专用机械车</w:t>
            </w:r>
          </w:p>
        </w:tc>
        <w:tc>
          <w:tcPr>
            <w:tcW w:w="1490"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16元至120元</w:t>
            </w:r>
          </w:p>
        </w:tc>
        <w:tc>
          <w:tcPr>
            <w:tcW w:w="1606"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摩托车</w:t>
            </w: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p>
        </w:tc>
        <w:tc>
          <w:tcPr>
            <w:tcW w:w="149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每辆</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36元至180元</w:t>
            </w:r>
          </w:p>
        </w:tc>
        <w:tc>
          <w:tcPr>
            <w:tcW w:w="160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69" w:hRule="exact"/>
          <w:jc w:val="center"/>
        </w:trPr>
        <w:tc>
          <w:tcPr>
            <w:tcW w:w="873"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船舶</w:t>
            </w: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机动船舶</w:t>
            </w:r>
          </w:p>
        </w:tc>
        <w:tc>
          <w:tcPr>
            <w:tcW w:w="149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净吨位每吨</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3元至6元</w:t>
            </w:r>
          </w:p>
        </w:tc>
        <w:tc>
          <w:tcPr>
            <w:tcW w:w="160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拖船、非机动驳船分别按照机动船舶税额的50%计算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4" w:hRule="exact"/>
          <w:jc w:val="center"/>
        </w:trPr>
        <w:tc>
          <w:tcPr>
            <w:tcW w:w="873" w:type="dxa"/>
            <w:vMerge w:val="continue"/>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游艇</w:t>
            </w:r>
          </w:p>
        </w:tc>
        <w:tc>
          <w:tcPr>
            <w:tcW w:w="149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艇深长度每米</w:t>
            </w:r>
          </w:p>
        </w:tc>
        <w:tc>
          <w:tcPr>
            <w:tcW w:w="179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600元至2000元</w:t>
            </w:r>
          </w:p>
        </w:tc>
        <w:tc>
          <w:tcPr>
            <w:tcW w:w="160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cs="黑体"/>
                <w:kern w:val="0"/>
                <w:sz w:val="21"/>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imes New Roman" w:hAnsi="Times New Roman" w:eastAsia="黑体" w:cs="黑体"/>
          <w:kern w:val="0"/>
          <w:szCs w:val="32"/>
          <w:lang w:eastAsia="zh-CN"/>
        </w:rPr>
      </w:pP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71818EA"/>
    <w:rsid w:val="19F86B68"/>
    <w:rsid w:val="28A83523"/>
    <w:rsid w:val="2F7753E6"/>
    <w:rsid w:val="3258761C"/>
    <w:rsid w:val="34B13AF4"/>
    <w:rsid w:val="441D377F"/>
    <w:rsid w:val="44BC0EEC"/>
    <w:rsid w:val="482A39F4"/>
    <w:rsid w:val="48FA1F5D"/>
    <w:rsid w:val="56755F92"/>
    <w:rsid w:val="5BA77B8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2018-12-03T03:13:45Z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