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kern w:val="0"/>
          <w:szCs w:val="32"/>
        </w:rPr>
      </w:pPr>
    </w:p>
    <w:p>
      <w:pPr>
        <w:rPr>
          <w:rFonts w:ascii="宋体" w:hAnsi="宋体" w:eastAsia="宋体" w:cs="宋体"/>
          <w:kern w:val="0"/>
          <w:szCs w:val="32"/>
        </w:rPr>
      </w:pPr>
    </w:p>
    <w:p>
      <w:pPr>
        <w:jc w:val="center"/>
        <w:rPr>
          <w:rFonts w:ascii="宋体" w:hAnsi="宋体" w:eastAsia="宋体" w:cs="宋体"/>
          <w:bCs/>
          <w:sz w:val="44"/>
          <w:szCs w:val="44"/>
        </w:rPr>
      </w:pPr>
      <w:bookmarkStart w:id="0" w:name="Title"/>
      <w:r>
        <w:rPr>
          <w:rFonts w:ascii="宋体" w:hAnsi="宋体" w:eastAsia="宋体" w:cs="Arial"/>
          <w:bCs/>
          <w:sz w:val="44"/>
          <w:szCs w:val="44"/>
        </w:rPr>
        <w:t>中华人民共和国车船税法</w:t>
      </w:r>
      <w:bookmarkEnd w:id="0"/>
    </w:p>
    <w:p>
      <w:pPr>
        <w:ind w:firstLine="632" w:firstLineChars="200"/>
        <w:rPr>
          <w:rFonts w:ascii="宋体" w:hAnsi="宋体" w:eastAsia="宋体" w:cs="宋体"/>
          <w:szCs w:val="32"/>
        </w:rPr>
      </w:pPr>
    </w:p>
    <w:p>
      <w:pPr>
        <w:ind w:left="632" w:leftChars="200" w:right="632" w:rightChars="200"/>
        <w:rPr>
          <w:rFonts w:ascii="宋体" w:hAnsi="宋体" w:eastAsia="宋体" w:cs="宋体"/>
          <w:szCs w:val="32"/>
        </w:rPr>
      </w:pPr>
      <w:r>
        <w:rPr>
          <w:rFonts w:hint="eastAsia" w:ascii="楷体_GB2312" w:hAnsi="Arial" w:eastAsia="楷体_GB2312" w:cs="Arial"/>
          <w:szCs w:val="32"/>
        </w:rPr>
        <w:t>（</w:t>
      </w:r>
      <w:bookmarkStart w:id="1" w:name="TitleDescription"/>
      <w:r>
        <w:rPr>
          <w:rFonts w:eastAsia="楷体_GB2312"/>
          <w:szCs w:val="32"/>
        </w:rPr>
        <w:t>2011</w:t>
      </w:r>
      <w:r>
        <w:rPr>
          <w:rFonts w:hint="eastAsia" w:ascii="楷体_GB2312" w:eastAsia="楷体_GB2312"/>
          <w:szCs w:val="32"/>
        </w:rPr>
        <w:t>年</w:t>
      </w:r>
      <w:r>
        <w:rPr>
          <w:rFonts w:eastAsia="楷体_GB2312"/>
          <w:szCs w:val="32"/>
        </w:rPr>
        <w:t>2</w:t>
      </w:r>
      <w:r>
        <w:rPr>
          <w:rFonts w:hint="eastAsia" w:ascii="楷体_GB2312" w:eastAsia="楷体_GB2312"/>
          <w:szCs w:val="32"/>
        </w:rPr>
        <w:t>月</w:t>
      </w:r>
      <w:r>
        <w:rPr>
          <w:rFonts w:eastAsia="楷体_GB2312"/>
          <w:szCs w:val="32"/>
        </w:rPr>
        <w:t>25</w:t>
      </w:r>
      <w:r>
        <w:rPr>
          <w:rFonts w:hint="eastAsia" w:ascii="楷体_GB2312" w:eastAsia="楷体_GB2312"/>
          <w:szCs w:val="32"/>
        </w:rPr>
        <w:t>日第十一届全国人民代表大会常务委员会第十九次会议通过　</w:t>
      </w:r>
      <w:bookmarkEnd w:id="1"/>
      <w:r>
        <w:rPr>
          <w:rFonts w:hint="eastAsia" w:ascii="楷体_GB2312" w:eastAsia="楷体_GB2312"/>
          <w:szCs w:val="32"/>
        </w:rPr>
        <w:t>根据</w:t>
      </w:r>
      <w:r>
        <w:rPr>
          <w:rFonts w:eastAsia="楷体_GB2312"/>
          <w:szCs w:val="32"/>
        </w:rPr>
        <w:t>2019</w:t>
      </w:r>
      <w:r>
        <w:rPr>
          <w:rFonts w:hint="eastAsia" w:ascii="楷体_GB2312" w:eastAsia="楷体_GB2312"/>
          <w:szCs w:val="32"/>
        </w:rPr>
        <w:t>年</w:t>
      </w:r>
      <w:r>
        <w:rPr>
          <w:rFonts w:eastAsia="楷体_GB2312"/>
          <w:szCs w:val="32"/>
        </w:rPr>
        <w:t>4</w:t>
      </w:r>
      <w:r>
        <w:rPr>
          <w:rFonts w:hint="eastAsia" w:ascii="楷体_GB2312" w:eastAsia="楷体_GB2312"/>
          <w:szCs w:val="32"/>
        </w:rPr>
        <w:t>月</w:t>
      </w:r>
      <w:r>
        <w:rPr>
          <w:rFonts w:eastAsia="楷体_GB2312"/>
          <w:szCs w:val="32"/>
        </w:rPr>
        <w:t>23</w:t>
      </w:r>
      <w:r>
        <w:rPr>
          <w:rFonts w:hint="eastAsia" w:ascii="楷体_GB2312" w:eastAsia="楷体_GB2312"/>
          <w:szCs w:val="32"/>
        </w:rPr>
        <w:t>日第十三届全国人民代表大会常务委员会第十次会议《关于修改&lt;中华人民共和国建筑法&gt;等八部法律的决定》修正</w:t>
      </w:r>
      <w:r>
        <w:rPr>
          <w:rFonts w:hint="eastAsia" w:ascii="楷体_GB2312" w:hAnsi="Arial" w:eastAsia="楷体_GB2312" w:cs="Arial"/>
          <w:szCs w:val="32"/>
        </w:rPr>
        <w:t>）</w:t>
      </w:r>
    </w:p>
    <w:p>
      <w:pPr>
        <w:rPr>
          <w:rFonts w:ascii="宋体" w:hAnsi="宋体" w:eastAsia="宋体" w:cs="宋体"/>
        </w:rPr>
      </w:pPr>
    </w:p>
    <w:p>
      <w:pPr>
        <w:ind w:firstLine="640"/>
        <w:rPr>
          <w:rFonts w:ascii="宋体" w:hAnsi="宋体" w:eastAsia="宋体" w:cs="宋体"/>
        </w:rPr>
      </w:pPr>
      <w:r>
        <w:rPr>
          <w:rFonts w:ascii="黑体" w:hAnsi="黑体" w:eastAsia="黑体" w:cs="黑体"/>
        </w:rPr>
        <w:t>第一条</w:t>
      </w:r>
      <w:r>
        <w:rPr>
          <w:rFonts w:hint="eastAsia" w:ascii="仿宋_GB2312" w:hAnsi="仿宋_GB2312" w:cs="仿宋_GB2312"/>
        </w:rPr>
        <w:t>　</w:t>
      </w:r>
      <w:r>
        <w:rPr>
          <w:rFonts w:ascii="仿宋_GB2312" w:hAnsi="仿宋_GB2312" w:cs="仿宋_GB2312"/>
        </w:rPr>
        <w:t>在中华人民共和国境内属于本法所附《车船税税目税额表》规定的车辆、船舶（以下简称车船）的所有人或者管理人，为车船税的纳税人，应当依照本法缴纳车船税。</w:t>
      </w:r>
    </w:p>
    <w:p>
      <w:pPr>
        <w:ind w:firstLine="640"/>
        <w:rPr>
          <w:rFonts w:ascii="宋体" w:hAnsi="宋体" w:eastAsia="宋体" w:cs="宋体"/>
        </w:rPr>
      </w:pPr>
      <w:r>
        <w:rPr>
          <w:rFonts w:ascii="黑体" w:hAnsi="黑体" w:eastAsia="黑体" w:cs="黑体"/>
        </w:rPr>
        <w:t>第二条</w:t>
      </w:r>
      <w:r>
        <w:rPr>
          <w:rFonts w:hint="eastAsia" w:ascii="仿宋_GB2312" w:hAnsi="仿宋_GB2312" w:cs="仿宋_GB2312"/>
        </w:rPr>
        <w:t>　</w:t>
      </w:r>
      <w:r>
        <w:rPr>
          <w:rFonts w:ascii="仿宋_GB2312" w:hAnsi="仿宋_GB2312" w:cs="仿宋_GB2312"/>
        </w:rPr>
        <w:t>车船的适用税额依照本法所附《车船税税目税额表》执行。</w:t>
      </w:r>
    </w:p>
    <w:p>
      <w:pPr>
        <w:ind w:firstLine="640"/>
        <w:rPr>
          <w:rFonts w:ascii="宋体" w:hAnsi="宋体" w:eastAsia="宋体" w:cs="宋体"/>
        </w:rPr>
      </w:pPr>
      <w:r>
        <w:rPr>
          <w:rFonts w:ascii="仿宋_GB2312" w:hAnsi="仿宋_GB2312" w:cs="仿宋_GB2312"/>
        </w:rPr>
        <w:t>车辆的具体适用税额由省、自治区、直辖市人民政府依照本法所附《车船税税目税额表》规定的税额幅度和国务院的规定确定。</w:t>
      </w:r>
    </w:p>
    <w:p>
      <w:pPr>
        <w:ind w:firstLine="640"/>
        <w:rPr>
          <w:rFonts w:ascii="宋体" w:hAnsi="宋体" w:eastAsia="宋体" w:cs="宋体"/>
        </w:rPr>
      </w:pPr>
      <w:r>
        <w:rPr>
          <w:rFonts w:ascii="仿宋_GB2312" w:hAnsi="仿宋_GB2312" w:cs="仿宋_GB2312"/>
        </w:rPr>
        <w:t>船舶的具体适用税额由国务院在本法所附《车船税税目税额表》规定的税额幅度内确定。</w:t>
      </w:r>
    </w:p>
    <w:p>
      <w:pPr>
        <w:ind w:firstLine="640"/>
        <w:rPr>
          <w:rFonts w:ascii="宋体" w:hAnsi="宋体" w:eastAsia="宋体" w:cs="宋体"/>
        </w:rPr>
      </w:pPr>
      <w:r>
        <w:rPr>
          <w:rFonts w:ascii="黑体" w:hAnsi="黑体" w:eastAsia="黑体" w:cs="黑体"/>
        </w:rPr>
        <w:t>第三条</w:t>
      </w:r>
      <w:r>
        <w:rPr>
          <w:rFonts w:hint="eastAsia" w:ascii="仿宋_GB2312" w:hAnsi="仿宋_GB2312" w:cs="仿宋_GB2312"/>
        </w:rPr>
        <w:t>　</w:t>
      </w:r>
      <w:r>
        <w:rPr>
          <w:rFonts w:ascii="仿宋_GB2312" w:hAnsi="仿宋_GB2312" w:cs="仿宋_GB2312"/>
        </w:rPr>
        <w:t>下列车船免征车船税：</w:t>
      </w:r>
    </w:p>
    <w:p>
      <w:pPr>
        <w:ind w:firstLine="640"/>
        <w:rPr>
          <w:rFonts w:ascii="宋体" w:hAnsi="宋体" w:eastAsia="宋体" w:cs="宋体"/>
        </w:rPr>
      </w:pPr>
      <w:r>
        <w:rPr>
          <w:rFonts w:ascii="仿宋_GB2312" w:hAnsi="仿宋_GB2312" w:cs="仿宋_GB2312"/>
        </w:rPr>
        <w:t>（一）捕捞、养殖渔船；</w:t>
      </w:r>
    </w:p>
    <w:p>
      <w:pPr>
        <w:ind w:firstLine="640"/>
        <w:rPr>
          <w:rFonts w:ascii="宋体" w:hAnsi="宋体" w:eastAsia="宋体" w:cs="宋体"/>
        </w:rPr>
      </w:pPr>
      <w:r>
        <w:rPr>
          <w:rFonts w:ascii="仿宋_GB2312" w:hAnsi="仿宋_GB2312" w:cs="仿宋_GB2312"/>
        </w:rPr>
        <w:t>（二）军队、武装警察部队专用的车船；</w:t>
      </w:r>
    </w:p>
    <w:p>
      <w:pPr>
        <w:ind w:firstLine="640"/>
        <w:rPr>
          <w:rFonts w:ascii="宋体" w:hAnsi="宋体" w:eastAsia="宋体" w:cs="宋体"/>
        </w:rPr>
      </w:pPr>
      <w:r>
        <w:rPr>
          <w:rFonts w:ascii="仿宋_GB2312" w:hAnsi="仿宋_GB2312" w:cs="仿宋_GB2312"/>
        </w:rPr>
        <w:t>（三）警用车船；</w:t>
      </w:r>
    </w:p>
    <w:p>
      <w:pPr>
        <w:ind w:firstLine="640"/>
        <w:rPr>
          <w:rFonts w:ascii="宋体" w:hAnsi="宋体" w:eastAsia="宋体" w:cs="宋体"/>
        </w:rPr>
      </w:pPr>
      <w:r>
        <w:rPr>
          <w:rFonts w:ascii="仿宋_GB2312" w:hAnsi="仿宋_GB2312" w:cs="仿宋_GB2312"/>
        </w:rPr>
        <w:t>（四）悬挂应急救援专用号牌的国家综合性消防救援车辆和国家综合性消防救援专用船舶；</w:t>
      </w:r>
    </w:p>
    <w:p>
      <w:pPr>
        <w:ind w:firstLine="640"/>
        <w:rPr>
          <w:rFonts w:ascii="宋体" w:hAnsi="宋体" w:eastAsia="宋体" w:cs="宋体"/>
        </w:rPr>
      </w:pPr>
      <w:r>
        <w:rPr>
          <w:rFonts w:ascii="仿宋_GB2312" w:hAnsi="仿宋_GB2312" w:cs="仿宋_GB2312"/>
        </w:rPr>
        <w:t>（五）依照法律规定应当予以免税的外国驻华使领馆、国际组织驻华代表机构及其有关人员的车船。</w:t>
      </w:r>
    </w:p>
    <w:p>
      <w:pPr>
        <w:ind w:firstLine="640"/>
        <w:rPr>
          <w:rFonts w:ascii="宋体" w:hAnsi="宋体" w:eastAsia="宋体" w:cs="宋体"/>
        </w:rPr>
      </w:pPr>
      <w:r>
        <w:rPr>
          <w:rFonts w:ascii="黑体" w:hAnsi="黑体" w:eastAsia="黑体" w:cs="黑体"/>
        </w:rPr>
        <w:t>第四条</w:t>
      </w:r>
      <w:r>
        <w:rPr>
          <w:rFonts w:hint="eastAsia" w:ascii="仿宋_GB2312" w:hAnsi="仿宋_GB2312" w:cs="仿宋_GB2312"/>
        </w:rPr>
        <w:t>　</w:t>
      </w:r>
      <w:r>
        <w:rPr>
          <w:rFonts w:ascii="仿宋_GB2312" w:hAnsi="仿宋_GB2312" w:cs="仿宋_GB2312"/>
        </w:rPr>
        <w:t>对节约能源、使用新能源的车船可以减征或者免征车船税；对受严重自然灾害影响纳税困难以及有其他特殊原因确需减税、免税的，可以减征或者免征车船税。具体办法由国务院规定，并报全国人民代表大会常务委员会备案。</w:t>
      </w:r>
    </w:p>
    <w:p>
      <w:pPr>
        <w:ind w:firstLine="640"/>
        <w:rPr>
          <w:rFonts w:ascii="宋体" w:hAnsi="宋体" w:eastAsia="宋体" w:cs="宋体"/>
        </w:rPr>
      </w:pPr>
      <w:r>
        <w:rPr>
          <w:rFonts w:ascii="黑体" w:hAnsi="黑体" w:eastAsia="黑体" w:cs="黑体"/>
        </w:rPr>
        <w:t>第五条</w:t>
      </w:r>
      <w:r>
        <w:rPr>
          <w:rFonts w:hint="eastAsia" w:ascii="仿宋_GB2312" w:hAnsi="仿宋_GB2312" w:cs="仿宋_GB2312"/>
        </w:rPr>
        <w:t>　</w:t>
      </w:r>
      <w:r>
        <w:rPr>
          <w:rFonts w:ascii="仿宋_GB2312" w:hAnsi="仿宋_GB2312" w:cs="仿宋_GB2312"/>
        </w:rPr>
        <w:t>省、自治区、直辖市人民政府根据当地实际情况，可以对公共交通车船，农村居民拥有并主要在农村地区使用的摩托车、三轮汽车和低速载货汽车定期减征或者免征车船税。</w:t>
      </w:r>
    </w:p>
    <w:p>
      <w:pPr>
        <w:ind w:firstLine="640"/>
        <w:rPr>
          <w:rFonts w:ascii="宋体" w:hAnsi="宋体" w:eastAsia="宋体" w:cs="宋体"/>
        </w:rPr>
      </w:pPr>
      <w:r>
        <w:rPr>
          <w:rFonts w:ascii="黑体" w:hAnsi="黑体" w:eastAsia="黑体" w:cs="黑体"/>
        </w:rPr>
        <w:t>第六条</w:t>
      </w:r>
      <w:r>
        <w:rPr>
          <w:rFonts w:hint="eastAsia" w:ascii="仿宋_GB2312" w:hAnsi="仿宋_GB2312" w:cs="仿宋_GB2312"/>
        </w:rPr>
        <w:t>　</w:t>
      </w:r>
      <w:r>
        <w:rPr>
          <w:rFonts w:ascii="仿宋_GB2312" w:hAnsi="仿宋_GB2312" w:cs="仿宋_GB2312"/>
        </w:rPr>
        <w:t>从事机动车第三者责任强制保险业务的保险机构为机动车车船税的扣缴义务人，应当在收取保险费时依法代收车船税，并出具代收税款凭证。</w:t>
      </w:r>
    </w:p>
    <w:p>
      <w:pPr>
        <w:ind w:firstLine="640"/>
        <w:rPr>
          <w:rFonts w:ascii="宋体" w:hAnsi="宋体" w:eastAsia="宋体" w:cs="宋体"/>
        </w:rPr>
      </w:pPr>
      <w:r>
        <w:rPr>
          <w:rFonts w:ascii="黑体" w:hAnsi="黑体" w:eastAsia="黑体" w:cs="黑体"/>
        </w:rPr>
        <w:t>第七条</w:t>
      </w:r>
      <w:r>
        <w:rPr>
          <w:rFonts w:hint="eastAsia" w:ascii="仿宋_GB2312" w:hAnsi="仿宋_GB2312" w:cs="仿宋_GB2312"/>
        </w:rPr>
        <w:t>　</w:t>
      </w:r>
      <w:r>
        <w:rPr>
          <w:rFonts w:ascii="仿宋_GB2312" w:hAnsi="仿宋_GB2312" w:cs="仿宋_GB2312"/>
        </w:rPr>
        <w:t>车船税的纳税地点为车船的登记地或者车船税扣缴义务人所在地。依法不需要办理登记的车船，车船税的纳税地点为车船的所有人或者管理人所在地。</w:t>
      </w:r>
    </w:p>
    <w:p>
      <w:pPr>
        <w:ind w:firstLine="640"/>
        <w:rPr>
          <w:rFonts w:ascii="宋体" w:hAnsi="宋体" w:eastAsia="宋体" w:cs="宋体"/>
        </w:rPr>
      </w:pPr>
      <w:r>
        <w:rPr>
          <w:rFonts w:ascii="黑体" w:hAnsi="黑体" w:eastAsia="黑体" w:cs="黑体"/>
        </w:rPr>
        <w:t>第八条</w:t>
      </w:r>
      <w:r>
        <w:rPr>
          <w:rFonts w:hint="eastAsia" w:ascii="仿宋_GB2312" w:hAnsi="仿宋_GB2312" w:cs="仿宋_GB2312"/>
        </w:rPr>
        <w:t>　</w:t>
      </w:r>
      <w:r>
        <w:rPr>
          <w:rFonts w:ascii="仿宋_GB2312" w:hAnsi="仿宋_GB2312" w:cs="仿宋_GB2312"/>
        </w:rPr>
        <w:t>车船税纳税义务发生时间为取得车船所有权或者管理权的当月。</w:t>
      </w:r>
    </w:p>
    <w:p>
      <w:pPr>
        <w:ind w:firstLine="640"/>
        <w:rPr>
          <w:rFonts w:ascii="宋体" w:hAnsi="宋体" w:eastAsia="宋体" w:cs="宋体"/>
        </w:rPr>
      </w:pPr>
      <w:r>
        <w:rPr>
          <w:rFonts w:ascii="黑体" w:hAnsi="黑体" w:eastAsia="黑体" w:cs="黑体"/>
        </w:rPr>
        <w:t>第九条</w:t>
      </w:r>
      <w:r>
        <w:rPr>
          <w:rFonts w:hint="eastAsia" w:ascii="仿宋_GB2312" w:hAnsi="仿宋_GB2312" w:cs="仿宋_GB2312"/>
        </w:rPr>
        <w:t>　</w:t>
      </w:r>
      <w:r>
        <w:rPr>
          <w:rFonts w:ascii="仿宋_GB2312" w:hAnsi="仿宋_GB2312" w:cs="仿宋_GB2312"/>
        </w:rPr>
        <w:t>车船税按年申报缴纳。具体申报纳税期限由省、自治区、直辖市人民政府规定。</w:t>
      </w:r>
    </w:p>
    <w:p>
      <w:pPr>
        <w:ind w:firstLine="640"/>
        <w:rPr>
          <w:rFonts w:ascii="宋体" w:hAnsi="宋体" w:eastAsia="宋体" w:cs="宋体"/>
        </w:rPr>
      </w:pPr>
      <w:r>
        <w:rPr>
          <w:rFonts w:ascii="黑体" w:hAnsi="黑体" w:eastAsia="黑体" w:cs="黑体"/>
        </w:rPr>
        <w:t>第十条</w:t>
      </w:r>
      <w:r>
        <w:rPr>
          <w:rFonts w:hint="eastAsia" w:ascii="仿宋_GB2312" w:hAnsi="仿宋_GB2312" w:cs="仿宋_GB2312"/>
        </w:rPr>
        <w:t>　</w:t>
      </w:r>
      <w:r>
        <w:rPr>
          <w:rFonts w:ascii="仿宋_GB2312" w:hAnsi="仿宋_GB2312" w:cs="仿宋_GB2312"/>
        </w:rPr>
        <w:t>公安、交通运输、农业、渔业等车船登记管理部门、船舶检验机构和车船税扣缴义务人的行业主管部门应当在提供车船有关信息等方面，协助税务机关加强车船税的征收管理。</w:t>
      </w:r>
    </w:p>
    <w:p>
      <w:pPr>
        <w:ind w:firstLine="640"/>
        <w:rPr>
          <w:rFonts w:ascii="宋体" w:hAnsi="宋体" w:eastAsia="宋体" w:cs="宋体"/>
        </w:rPr>
      </w:pPr>
      <w:r>
        <w:rPr>
          <w:rFonts w:ascii="仿宋_GB2312" w:hAnsi="仿宋_GB2312" w:cs="仿宋_GB2312"/>
        </w:rPr>
        <w:t>车辆所有人或者管理人在申请办理车辆相关登记、定期检验手续时，应当向公安机关交通管理部门提交依法纳税或者免税证明。公安机关交通管理部门核查后办理相关手续。</w:t>
      </w:r>
    </w:p>
    <w:p>
      <w:pPr>
        <w:ind w:firstLine="640"/>
        <w:rPr>
          <w:rFonts w:ascii="宋体" w:hAnsi="宋体" w:eastAsia="宋体" w:cs="宋体"/>
        </w:rPr>
      </w:pPr>
      <w:r>
        <w:rPr>
          <w:rFonts w:ascii="黑体" w:hAnsi="黑体" w:eastAsia="黑体" w:cs="黑体"/>
        </w:rPr>
        <w:t>第十一条</w:t>
      </w:r>
      <w:r>
        <w:rPr>
          <w:rFonts w:hint="eastAsia" w:ascii="仿宋_GB2312" w:hAnsi="仿宋_GB2312" w:cs="仿宋_GB2312"/>
        </w:rPr>
        <w:t>　</w:t>
      </w:r>
      <w:r>
        <w:rPr>
          <w:rFonts w:ascii="仿宋_GB2312" w:hAnsi="仿宋_GB2312" w:cs="仿宋_GB2312"/>
        </w:rPr>
        <w:t>车船税的征收管理，依照本法和《中华人民共和国税收征收管理法》的规定执行。</w:t>
      </w:r>
    </w:p>
    <w:p>
      <w:pPr>
        <w:ind w:firstLine="640"/>
        <w:rPr>
          <w:rFonts w:ascii="宋体" w:hAnsi="宋体" w:eastAsia="宋体" w:cs="宋体"/>
        </w:rPr>
      </w:pPr>
      <w:r>
        <w:rPr>
          <w:rFonts w:ascii="黑体" w:hAnsi="黑体" w:eastAsia="黑体" w:cs="黑体"/>
        </w:rPr>
        <w:t>第十二条</w:t>
      </w:r>
      <w:r>
        <w:rPr>
          <w:rFonts w:hint="eastAsia" w:ascii="仿宋_GB2312" w:hAnsi="仿宋_GB2312" w:cs="仿宋_GB2312"/>
        </w:rPr>
        <w:t>　</w:t>
      </w:r>
      <w:r>
        <w:rPr>
          <w:rFonts w:ascii="仿宋_GB2312" w:hAnsi="仿宋_GB2312" w:cs="仿宋_GB2312"/>
        </w:rPr>
        <w:t>国务院根据本法制定实施条例。</w:t>
      </w:r>
    </w:p>
    <w:p>
      <w:pPr>
        <w:ind w:firstLine="640"/>
        <w:rPr>
          <w:rFonts w:ascii="仿宋_GB2312" w:hAnsi="仿宋_GB2312" w:cs="仿宋_GB2312"/>
        </w:rPr>
      </w:pPr>
      <w:r>
        <w:rPr>
          <w:rFonts w:ascii="黑体" w:hAnsi="黑体" w:eastAsia="黑体" w:cs="黑体"/>
        </w:rPr>
        <w:t>第十三条</w:t>
      </w:r>
      <w:r>
        <w:rPr>
          <w:rFonts w:hint="eastAsia" w:ascii="仿宋_GB2312" w:hAnsi="仿宋_GB2312" w:cs="仿宋_GB2312"/>
        </w:rPr>
        <w:t>　</w:t>
      </w:r>
      <w:r>
        <w:rPr>
          <w:rFonts w:ascii="仿宋_GB2312" w:hAnsi="仿宋_GB2312" w:cs="仿宋_GB2312"/>
        </w:rPr>
        <w:t>本法自</w:t>
      </w:r>
      <w:r>
        <w:t>2012</w:t>
      </w:r>
      <w:r>
        <w:rPr>
          <w:rFonts w:ascii="仿宋_GB2312" w:hAnsi="仿宋_GB2312" w:cs="仿宋_GB2312"/>
        </w:rPr>
        <w:t>年</w:t>
      </w:r>
      <w:r>
        <w:t>1</w:t>
      </w:r>
      <w:r>
        <w:rPr>
          <w:rFonts w:ascii="仿宋_GB2312" w:hAnsi="仿宋_GB2312" w:cs="仿宋_GB2312"/>
        </w:rPr>
        <w:t>月</w:t>
      </w:r>
      <w:r>
        <w:t>1</w:t>
      </w:r>
      <w:r>
        <w:rPr>
          <w:rFonts w:ascii="仿宋_GB2312" w:hAnsi="仿宋_GB2312" w:cs="仿宋_GB2312"/>
        </w:rPr>
        <w:t>日起施行。</w:t>
      </w:r>
      <w:r>
        <w:t>2006</w:t>
      </w:r>
      <w:r>
        <w:rPr>
          <w:rFonts w:ascii="仿宋_GB2312" w:hAnsi="仿宋_GB2312" w:cs="仿宋_GB2312"/>
        </w:rPr>
        <w:t>年</w:t>
      </w:r>
      <w:r>
        <w:t>12</w:t>
      </w:r>
      <w:r>
        <w:rPr>
          <w:rFonts w:ascii="仿宋_GB2312" w:hAnsi="仿宋_GB2312" w:cs="仿宋_GB2312"/>
        </w:rPr>
        <w:t>月</w:t>
      </w:r>
      <w:r>
        <w:t>29</w:t>
      </w:r>
      <w:r>
        <w:rPr>
          <w:rFonts w:ascii="仿宋_GB2312" w:hAnsi="仿宋_GB2312" w:cs="仿宋_GB2312"/>
        </w:rPr>
        <w:t>日国务院公布的《中华人民共和国车船税暂行条例》同时废止。</w:t>
      </w:r>
    </w:p>
    <w:p>
      <w:pPr>
        <w:ind w:firstLine="640"/>
        <w:rPr>
          <w:rFonts w:hint="eastAsia" w:ascii="黑体" w:hAnsi="黑体" w:eastAsia="黑体" w:cs="黑体"/>
          <w:lang w:val="en-US" w:eastAsia="zh-CN"/>
        </w:rPr>
      </w:pPr>
      <w:r>
        <w:rPr>
          <w:rFonts w:hint="eastAsia" w:ascii="黑体" w:hAnsi="黑体" w:eastAsia="黑体" w:cs="黑体"/>
          <w:lang w:val="en-US" w:eastAsia="zh-CN"/>
        </w:rPr>
        <w:t>附：</w:t>
      </w:r>
    </w:p>
    <w:p>
      <w:pPr>
        <w:ind w:firstLine="640"/>
        <w:jc w:val="center"/>
        <w:rPr>
          <w:rFonts w:hint="eastAsia" w:ascii="仿宋_GB2312" w:hAnsi="仿宋_GB2312" w:cs="仿宋_GB2312"/>
          <w:lang w:val="en-US" w:eastAsia="zh-CN"/>
        </w:rPr>
      </w:pPr>
      <w:r>
        <w:rPr>
          <w:rFonts w:hint="eastAsia" w:ascii="仿宋_GB2312" w:hAnsi="仿宋_GB2312" w:cs="仿宋_GB2312"/>
          <w:spacing w:val="57"/>
          <w:lang w:val="en-US" w:eastAsia="zh-CN"/>
        </w:rPr>
        <w:t>车船税税目税额表</w:t>
      </w:r>
    </w:p>
    <w:p>
      <w:pPr>
        <w:ind w:firstLine="640"/>
        <w:rPr>
          <w:rFonts w:ascii="仿宋_GB2312" w:hAnsi="仿宋_GB2312" w:cs="仿宋_GB2312"/>
        </w:rPr>
      </w:pPr>
    </w:p>
    <w:tbl>
      <w:tblPr>
        <w:tblStyle w:val="7"/>
        <w:tblpPr w:leftFromText="180" w:rightFromText="180" w:vertAnchor="page" w:horzAnchor="page" w:tblpX="1899" w:tblpY="9734"/>
        <w:tblOverlap w:val="never"/>
        <w:tblW w:w="852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
        <w:gridCol w:w="2829"/>
        <w:gridCol w:w="1422"/>
        <w:gridCol w:w="1724"/>
        <w:gridCol w:w="16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3" w:hRule="atLeast"/>
          <w:jc w:val="center"/>
        </w:trPr>
        <w:tc>
          <w:tcPr>
            <w:tcW w:w="3681" w:type="dxa"/>
            <w:gridSpan w:val="2"/>
            <w:tcBorders>
              <w:top w:val="single" w:color="auto" w:sz="6" w:space="0"/>
              <w:left w:val="single" w:color="auto" w:sz="6" w:space="0"/>
              <w:bottom w:val="single" w:color="auto" w:sz="6" w:space="0"/>
              <w:right w:val="single" w:color="auto" w:sz="6" w:space="0"/>
              <w:tl2br w:val="nil"/>
              <w:tr2bl w:val="nil"/>
            </w:tcBorders>
            <w:vAlign w:val="center"/>
          </w:tcPr>
          <w:p>
            <w:pPr>
              <w:jc w:val="center"/>
              <w:rPr>
                <w:rFonts w:hint="eastAsia" w:ascii="仿宋" w:hAnsi="仿宋" w:eastAsia="仿宋" w:cs="仿宋"/>
                <w:sz w:val="21"/>
                <w:szCs w:val="21"/>
              </w:rPr>
            </w:pPr>
            <w:r>
              <w:rPr>
                <w:rFonts w:hint="eastAsia" w:ascii="仿宋" w:hAnsi="仿宋" w:eastAsia="仿宋" w:cs="仿宋"/>
                <w:spacing w:val="-1"/>
                <w:kern w:val="0"/>
                <w:sz w:val="21"/>
                <w:szCs w:val="21"/>
              </w:rPr>
              <w:t>税    目</w:t>
            </w:r>
          </w:p>
        </w:tc>
        <w:tc>
          <w:tcPr>
            <w:tcW w:w="1422"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r>
              <w:rPr>
                <w:rFonts w:hint="eastAsia" w:ascii="仿宋" w:hAnsi="仿宋" w:eastAsia="仿宋" w:cs="仿宋"/>
                <w:spacing w:val="-1"/>
                <w:kern w:val="0"/>
                <w:sz w:val="21"/>
                <w:szCs w:val="21"/>
              </w:rPr>
              <w:t>计税单位</w:t>
            </w:r>
          </w:p>
        </w:tc>
        <w:tc>
          <w:tcPr>
            <w:tcW w:w="1724"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r>
              <w:rPr>
                <w:rFonts w:hint="eastAsia" w:ascii="仿宋" w:hAnsi="仿宋" w:eastAsia="仿宋" w:cs="仿宋"/>
                <w:spacing w:val="-1"/>
                <w:kern w:val="0"/>
                <w:sz w:val="21"/>
                <w:szCs w:val="21"/>
              </w:rPr>
              <w:t>年基准税额</w:t>
            </w:r>
          </w:p>
        </w:tc>
        <w:tc>
          <w:tcPr>
            <w:tcW w:w="1695"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r>
              <w:rPr>
                <w:rFonts w:hint="eastAsia" w:ascii="仿宋" w:hAnsi="仿宋" w:eastAsia="仿宋" w:cs="仿宋"/>
                <w:spacing w:val="-1"/>
                <w:kern w:val="0"/>
                <w:sz w:val="21"/>
                <w:szCs w:val="21"/>
              </w:rPr>
              <w:t>备  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495" w:hRule="atLeast"/>
          <w:jc w:val="center"/>
        </w:trPr>
        <w:tc>
          <w:tcPr>
            <w:tcW w:w="852" w:type="dxa"/>
            <w:vMerge w:val="restart"/>
            <w:tcBorders>
              <w:top w:val="single" w:color="auto" w:sz="6" w:space="0"/>
              <w:left w:val="single" w:color="auto" w:sz="6" w:space="0"/>
              <w:right w:val="single" w:color="auto" w:sz="6" w:space="0"/>
              <w:tl2br w:val="nil"/>
              <w:tr2bl w:val="nil"/>
            </w:tcBorders>
            <w:textDirection w:val="tbRlV"/>
            <w:vAlign w:val="center"/>
          </w:tcPr>
          <w:p>
            <w:pPr>
              <w:spacing w:beforeLines="0" w:afterLines="0"/>
              <w:ind w:left="-90" w:leftChars="0" w:right="113"/>
              <w:jc w:val="center"/>
              <w:rPr>
                <w:rFonts w:hint="eastAsia" w:ascii="仿宋" w:hAnsi="仿宋" w:eastAsia="仿宋" w:cs="仿宋"/>
                <w:sz w:val="21"/>
                <w:szCs w:val="21"/>
                <w:lang w:val="en-US" w:eastAsia="zh-CN"/>
              </w:rPr>
            </w:pPr>
          </w:p>
          <w:p>
            <w:pPr>
              <w:spacing w:beforeLines="0" w:afterLines="0"/>
              <w:ind w:left="-90" w:leftChars="0" w:right="113"/>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容量（排气量）分档〕</w:t>
            </w:r>
          </w:p>
          <w:p>
            <w:pPr>
              <w:spacing w:beforeLines="0" w:afterLines="0"/>
              <w:ind w:left="-90" w:leftChars="0" w:right="113"/>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乘用车〔按发动机汽缸</w:t>
            </w:r>
          </w:p>
          <w:p>
            <w:pPr>
              <w:spacing w:beforeLines="0" w:afterLines="0"/>
              <w:ind w:left="-90" w:leftChars="0" w:right="113"/>
              <w:jc w:val="center"/>
              <w:rPr>
                <w:rFonts w:hint="eastAsia" w:ascii="仿宋" w:hAnsi="仿宋" w:eastAsia="仿宋" w:cs="仿宋"/>
                <w:sz w:val="21"/>
                <w:szCs w:val="21"/>
                <w:lang w:val="en-US" w:eastAsia="zh-CN"/>
              </w:rPr>
            </w:pPr>
          </w:p>
        </w:tc>
        <w:tc>
          <w:tcPr>
            <w:tcW w:w="2829"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r>
              <w:rPr>
                <w:rFonts w:hint="eastAsia" w:ascii="仿宋" w:hAnsi="仿宋" w:eastAsia="仿宋" w:cs="仿宋"/>
                <w:spacing w:val="-1"/>
                <w:kern w:val="0"/>
                <w:sz w:val="21"/>
                <w:szCs w:val="21"/>
              </w:rPr>
              <w:t>1．0升(含)以下的</w:t>
            </w:r>
          </w:p>
        </w:tc>
        <w:tc>
          <w:tcPr>
            <w:tcW w:w="1422" w:type="dxa"/>
            <w:vMerge w:val="restart"/>
            <w:tcBorders>
              <w:top w:val="single" w:color="auto" w:sz="6" w:space="0"/>
              <w:left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r>
              <w:rPr>
                <w:rFonts w:hint="eastAsia" w:ascii="仿宋" w:hAnsi="仿宋" w:eastAsia="仿宋" w:cs="仿宋"/>
                <w:spacing w:val="-1"/>
                <w:kern w:val="0"/>
                <w:sz w:val="21"/>
                <w:szCs w:val="21"/>
              </w:rPr>
              <w:t>每辆</w:t>
            </w:r>
          </w:p>
        </w:tc>
        <w:tc>
          <w:tcPr>
            <w:tcW w:w="1724"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r>
              <w:rPr>
                <w:rFonts w:hint="eastAsia" w:ascii="仿宋" w:hAnsi="仿宋" w:eastAsia="仿宋" w:cs="仿宋"/>
                <w:spacing w:val="-1"/>
                <w:kern w:val="0"/>
                <w:sz w:val="21"/>
                <w:szCs w:val="21"/>
              </w:rPr>
              <w:t>60元至360元</w:t>
            </w:r>
          </w:p>
        </w:tc>
        <w:tc>
          <w:tcPr>
            <w:tcW w:w="1695" w:type="dxa"/>
            <w:vMerge w:val="restart"/>
            <w:tcBorders>
              <w:top w:val="single" w:color="auto" w:sz="6" w:space="0"/>
              <w:left w:val="single" w:color="auto" w:sz="6" w:space="0"/>
              <w:right w:val="single" w:color="auto" w:sz="6" w:space="0"/>
              <w:tl2br w:val="nil"/>
              <w:tr2bl w:val="nil"/>
            </w:tcBorders>
            <w:vAlign w:val="center"/>
          </w:tcPr>
          <w:p>
            <w:pPr>
              <w:spacing w:beforeLines="0" w:afterLines="0"/>
              <w:ind w:left="-90"/>
              <w:jc w:val="both"/>
              <w:rPr>
                <w:rFonts w:hint="eastAsia" w:ascii="仿宋" w:hAnsi="仿宋" w:eastAsia="仿宋" w:cs="仿宋"/>
                <w:spacing w:val="-1"/>
                <w:kern w:val="0"/>
                <w:sz w:val="21"/>
                <w:szCs w:val="21"/>
              </w:rPr>
            </w:pPr>
          </w:p>
          <w:p>
            <w:pPr>
              <w:spacing w:beforeLines="0" w:afterLines="0"/>
              <w:ind w:left="-90"/>
              <w:jc w:val="both"/>
              <w:rPr>
                <w:rFonts w:hint="eastAsia" w:ascii="仿宋" w:hAnsi="仿宋" w:eastAsia="仿宋" w:cs="仿宋"/>
                <w:sz w:val="21"/>
                <w:szCs w:val="21"/>
              </w:rPr>
            </w:pPr>
            <w:r>
              <w:rPr>
                <w:rFonts w:hint="eastAsia" w:ascii="仿宋" w:hAnsi="仿宋" w:eastAsia="仿宋" w:cs="仿宋"/>
                <w:spacing w:val="-1"/>
                <w:kern w:val="0"/>
                <w:sz w:val="21"/>
                <w:szCs w:val="21"/>
              </w:rPr>
              <w:t>核定载客人数9人</w:t>
            </w:r>
            <w:r>
              <w:rPr>
                <w:rFonts w:hint="eastAsia" w:ascii="仿宋" w:hAnsi="仿宋" w:eastAsia="仿宋" w:cs="仿宋"/>
                <w:spacing w:val="-1"/>
                <w:kern w:val="0"/>
                <w:sz w:val="21"/>
                <w:szCs w:val="21"/>
                <w:lang w:eastAsia="zh-CN"/>
              </w:rPr>
              <w:t>（</w:t>
            </w:r>
            <w:r>
              <w:rPr>
                <w:rFonts w:hint="eastAsia" w:ascii="仿宋" w:hAnsi="仿宋" w:eastAsia="仿宋" w:cs="仿宋"/>
                <w:spacing w:val="-1"/>
                <w:kern w:val="0"/>
                <w:sz w:val="21"/>
                <w:szCs w:val="21"/>
              </w:rPr>
              <w:t>含</w:t>
            </w:r>
            <w:r>
              <w:rPr>
                <w:rFonts w:hint="eastAsia" w:ascii="仿宋" w:hAnsi="仿宋" w:eastAsia="仿宋" w:cs="仿宋"/>
                <w:spacing w:val="-1"/>
                <w:kern w:val="0"/>
                <w:sz w:val="21"/>
                <w:szCs w:val="21"/>
                <w:lang w:eastAsia="zh-CN"/>
              </w:rPr>
              <w:t>）</w:t>
            </w:r>
            <w:r>
              <w:rPr>
                <w:rFonts w:hint="eastAsia" w:ascii="仿宋" w:hAnsi="仿宋" w:eastAsia="仿宋" w:cs="仿宋"/>
                <w:spacing w:val="-1"/>
                <w:kern w:val="0"/>
                <w:sz w:val="21"/>
                <w:szCs w:val="21"/>
              </w:rPr>
              <w:t>以下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506" w:hRule="atLeast"/>
          <w:jc w:val="center"/>
        </w:trPr>
        <w:tc>
          <w:tcPr>
            <w:tcW w:w="852" w:type="dxa"/>
            <w:vMerge w:val="continue"/>
            <w:tcBorders>
              <w:left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p>
        </w:tc>
        <w:tc>
          <w:tcPr>
            <w:tcW w:w="2829"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r>
              <w:rPr>
                <w:rFonts w:hint="eastAsia" w:ascii="仿宋" w:hAnsi="仿宋" w:eastAsia="仿宋" w:cs="仿宋"/>
                <w:spacing w:val="-1"/>
                <w:kern w:val="0"/>
                <w:sz w:val="21"/>
                <w:szCs w:val="21"/>
              </w:rPr>
              <w:t>1．0升以上至1．6升(含)的</w:t>
            </w:r>
          </w:p>
        </w:tc>
        <w:tc>
          <w:tcPr>
            <w:tcW w:w="1422" w:type="dxa"/>
            <w:vMerge w:val="continue"/>
            <w:tcBorders>
              <w:left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p>
        </w:tc>
        <w:tc>
          <w:tcPr>
            <w:tcW w:w="1724"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r>
              <w:rPr>
                <w:rFonts w:hint="eastAsia" w:ascii="仿宋" w:hAnsi="仿宋" w:eastAsia="仿宋" w:cs="仿宋"/>
                <w:spacing w:val="-1"/>
                <w:kern w:val="0"/>
                <w:sz w:val="21"/>
                <w:szCs w:val="21"/>
              </w:rPr>
              <w:t>300元至540元</w:t>
            </w:r>
          </w:p>
        </w:tc>
        <w:tc>
          <w:tcPr>
            <w:tcW w:w="1695" w:type="dxa"/>
            <w:vMerge w:val="continue"/>
            <w:tcBorders>
              <w:left w:val="single" w:color="auto" w:sz="6" w:space="0"/>
              <w:right w:val="single" w:color="auto" w:sz="6" w:space="0"/>
              <w:tl2br w:val="nil"/>
              <w:tr2bl w:val="nil"/>
            </w:tcBorders>
            <w:vAlign w:val="center"/>
          </w:tcPr>
          <w:p>
            <w:pPr>
              <w:spacing w:beforeLines="0" w:afterLines="0"/>
              <w:ind w:left="-90"/>
              <w:jc w:val="both"/>
              <w:rPr>
                <w:rFonts w:hint="eastAsia" w:ascii="仿宋" w:hAnsi="仿宋" w:eastAsia="仿宋" w:cs="仿宋"/>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501" w:hRule="atLeast"/>
          <w:jc w:val="center"/>
        </w:trPr>
        <w:tc>
          <w:tcPr>
            <w:tcW w:w="852" w:type="dxa"/>
            <w:vMerge w:val="continue"/>
            <w:tcBorders>
              <w:left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p>
        </w:tc>
        <w:tc>
          <w:tcPr>
            <w:tcW w:w="2829"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r>
              <w:rPr>
                <w:rFonts w:hint="eastAsia" w:ascii="仿宋" w:hAnsi="仿宋" w:eastAsia="仿宋" w:cs="仿宋"/>
                <w:spacing w:val="-1"/>
                <w:kern w:val="0"/>
                <w:sz w:val="21"/>
                <w:szCs w:val="21"/>
              </w:rPr>
              <w:t>1．6升以上至2．0升(含)的</w:t>
            </w:r>
          </w:p>
        </w:tc>
        <w:tc>
          <w:tcPr>
            <w:tcW w:w="1422" w:type="dxa"/>
            <w:vMerge w:val="continue"/>
            <w:tcBorders>
              <w:left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p>
        </w:tc>
        <w:tc>
          <w:tcPr>
            <w:tcW w:w="1724"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r>
              <w:rPr>
                <w:rFonts w:hint="eastAsia" w:ascii="仿宋" w:hAnsi="仿宋" w:eastAsia="仿宋" w:cs="仿宋"/>
                <w:spacing w:val="-1"/>
                <w:kern w:val="0"/>
                <w:sz w:val="21"/>
                <w:szCs w:val="21"/>
              </w:rPr>
              <w:t>360元至660元</w:t>
            </w:r>
          </w:p>
        </w:tc>
        <w:tc>
          <w:tcPr>
            <w:tcW w:w="1695" w:type="dxa"/>
            <w:vMerge w:val="continue"/>
            <w:tcBorders>
              <w:left w:val="single" w:color="auto" w:sz="6" w:space="0"/>
              <w:right w:val="single" w:color="auto" w:sz="6" w:space="0"/>
              <w:tl2br w:val="nil"/>
              <w:tr2bl w:val="nil"/>
            </w:tcBorders>
            <w:vAlign w:val="center"/>
          </w:tcPr>
          <w:p>
            <w:pPr>
              <w:spacing w:beforeLines="0" w:afterLines="0"/>
              <w:ind w:left="-90"/>
              <w:jc w:val="both"/>
              <w:rPr>
                <w:rFonts w:hint="eastAsia" w:ascii="仿宋" w:hAnsi="仿宋" w:eastAsia="仿宋" w:cs="仿宋"/>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501" w:hRule="atLeast"/>
          <w:jc w:val="center"/>
        </w:trPr>
        <w:tc>
          <w:tcPr>
            <w:tcW w:w="852" w:type="dxa"/>
            <w:vMerge w:val="continue"/>
            <w:tcBorders>
              <w:left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p>
        </w:tc>
        <w:tc>
          <w:tcPr>
            <w:tcW w:w="2829"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r>
              <w:rPr>
                <w:rFonts w:hint="eastAsia" w:ascii="仿宋" w:hAnsi="仿宋" w:eastAsia="仿宋" w:cs="仿宋"/>
                <w:spacing w:val="-1"/>
                <w:kern w:val="0"/>
                <w:sz w:val="21"/>
                <w:szCs w:val="21"/>
              </w:rPr>
              <w:t>2．0升以上至2．5升(含)的</w:t>
            </w:r>
          </w:p>
        </w:tc>
        <w:tc>
          <w:tcPr>
            <w:tcW w:w="1422" w:type="dxa"/>
            <w:vMerge w:val="continue"/>
            <w:tcBorders>
              <w:left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p>
        </w:tc>
        <w:tc>
          <w:tcPr>
            <w:tcW w:w="1724"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r>
              <w:rPr>
                <w:rFonts w:hint="eastAsia" w:ascii="仿宋" w:hAnsi="仿宋" w:eastAsia="仿宋" w:cs="仿宋"/>
                <w:spacing w:val="-1"/>
                <w:kern w:val="0"/>
                <w:sz w:val="21"/>
                <w:szCs w:val="21"/>
              </w:rPr>
              <w:t>660元至1200元</w:t>
            </w:r>
          </w:p>
        </w:tc>
        <w:tc>
          <w:tcPr>
            <w:tcW w:w="1695" w:type="dxa"/>
            <w:vMerge w:val="continue"/>
            <w:tcBorders>
              <w:left w:val="single" w:color="auto" w:sz="6" w:space="0"/>
              <w:right w:val="single" w:color="auto" w:sz="6" w:space="0"/>
              <w:tl2br w:val="nil"/>
              <w:tr2bl w:val="nil"/>
            </w:tcBorders>
            <w:vAlign w:val="center"/>
          </w:tcPr>
          <w:p>
            <w:pPr>
              <w:spacing w:beforeLines="0" w:afterLines="0"/>
              <w:ind w:left="-90"/>
              <w:jc w:val="both"/>
              <w:rPr>
                <w:rFonts w:hint="eastAsia" w:ascii="仿宋" w:hAnsi="仿宋" w:eastAsia="仿宋" w:cs="仿宋"/>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506" w:hRule="atLeast"/>
          <w:jc w:val="center"/>
        </w:trPr>
        <w:tc>
          <w:tcPr>
            <w:tcW w:w="852" w:type="dxa"/>
            <w:vMerge w:val="continue"/>
            <w:tcBorders>
              <w:left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p>
        </w:tc>
        <w:tc>
          <w:tcPr>
            <w:tcW w:w="2829"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r>
              <w:rPr>
                <w:rFonts w:hint="eastAsia" w:ascii="仿宋" w:hAnsi="仿宋" w:eastAsia="仿宋" w:cs="仿宋"/>
                <w:spacing w:val="-1"/>
                <w:kern w:val="0"/>
                <w:sz w:val="21"/>
                <w:szCs w:val="21"/>
              </w:rPr>
              <w:t>2．5升以上至3．0升(含)的</w:t>
            </w:r>
          </w:p>
        </w:tc>
        <w:tc>
          <w:tcPr>
            <w:tcW w:w="1422" w:type="dxa"/>
            <w:vMerge w:val="continue"/>
            <w:tcBorders>
              <w:left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p>
        </w:tc>
        <w:tc>
          <w:tcPr>
            <w:tcW w:w="1724"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r>
              <w:rPr>
                <w:rFonts w:hint="eastAsia" w:ascii="仿宋" w:hAnsi="仿宋" w:eastAsia="仿宋" w:cs="仿宋"/>
                <w:spacing w:val="-1"/>
                <w:kern w:val="0"/>
                <w:sz w:val="21"/>
                <w:szCs w:val="21"/>
              </w:rPr>
              <w:t>1200元至2400元</w:t>
            </w:r>
          </w:p>
        </w:tc>
        <w:tc>
          <w:tcPr>
            <w:tcW w:w="1695" w:type="dxa"/>
            <w:vMerge w:val="continue"/>
            <w:tcBorders>
              <w:left w:val="single" w:color="auto" w:sz="6" w:space="0"/>
              <w:right w:val="single" w:color="auto" w:sz="6" w:space="0"/>
              <w:tl2br w:val="nil"/>
              <w:tr2bl w:val="nil"/>
            </w:tcBorders>
            <w:vAlign w:val="center"/>
          </w:tcPr>
          <w:p>
            <w:pPr>
              <w:spacing w:beforeLines="0" w:afterLines="0"/>
              <w:ind w:left="-90"/>
              <w:jc w:val="both"/>
              <w:rPr>
                <w:rFonts w:hint="eastAsia" w:ascii="仿宋" w:hAnsi="仿宋" w:eastAsia="仿宋" w:cs="仿宋"/>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501" w:hRule="atLeast"/>
          <w:jc w:val="center"/>
        </w:trPr>
        <w:tc>
          <w:tcPr>
            <w:tcW w:w="852" w:type="dxa"/>
            <w:vMerge w:val="continue"/>
            <w:tcBorders>
              <w:left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p>
        </w:tc>
        <w:tc>
          <w:tcPr>
            <w:tcW w:w="2829"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r>
              <w:rPr>
                <w:rFonts w:hint="eastAsia" w:ascii="仿宋" w:hAnsi="仿宋" w:eastAsia="仿宋" w:cs="仿宋"/>
                <w:spacing w:val="-1"/>
                <w:kern w:val="0"/>
                <w:sz w:val="21"/>
                <w:szCs w:val="21"/>
              </w:rPr>
              <w:t>3．0升以上至4．0升(含)的</w:t>
            </w:r>
          </w:p>
        </w:tc>
        <w:tc>
          <w:tcPr>
            <w:tcW w:w="1422" w:type="dxa"/>
            <w:vMerge w:val="continue"/>
            <w:tcBorders>
              <w:left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p>
        </w:tc>
        <w:tc>
          <w:tcPr>
            <w:tcW w:w="1724"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r>
              <w:rPr>
                <w:rFonts w:hint="eastAsia" w:ascii="仿宋" w:hAnsi="仿宋" w:eastAsia="仿宋" w:cs="仿宋"/>
                <w:spacing w:val="-1"/>
                <w:kern w:val="0"/>
                <w:sz w:val="21"/>
                <w:szCs w:val="21"/>
              </w:rPr>
              <w:t>2400元至3600元</w:t>
            </w:r>
          </w:p>
        </w:tc>
        <w:tc>
          <w:tcPr>
            <w:tcW w:w="1695" w:type="dxa"/>
            <w:vMerge w:val="continue"/>
            <w:tcBorders>
              <w:left w:val="single" w:color="auto" w:sz="6" w:space="0"/>
              <w:right w:val="single" w:color="auto" w:sz="6" w:space="0"/>
              <w:tl2br w:val="nil"/>
              <w:tr2bl w:val="nil"/>
            </w:tcBorders>
            <w:vAlign w:val="center"/>
          </w:tcPr>
          <w:p>
            <w:pPr>
              <w:spacing w:beforeLines="0" w:afterLines="0"/>
              <w:ind w:left="-90"/>
              <w:jc w:val="both"/>
              <w:rPr>
                <w:rFonts w:hint="eastAsia" w:ascii="仿宋" w:hAnsi="仿宋" w:eastAsia="仿宋" w:cs="仿宋"/>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512" w:hRule="atLeast"/>
          <w:jc w:val="center"/>
        </w:trPr>
        <w:tc>
          <w:tcPr>
            <w:tcW w:w="852" w:type="dxa"/>
            <w:vMerge w:val="continue"/>
            <w:tcBorders>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p>
        </w:tc>
        <w:tc>
          <w:tcPr>
            <w:tcW w:w="2829"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r>
              <w:rPr>
                <w:rFonts w:hint="eastAsia" w:ascii="仿宋" w:hAnsi="仿宋" w:eastAsia="仿宋" w:cs="仿宋"/>
                <w:spacing w:val="-1"/>
                <w:kern w:val="0"/>
                <w:sz w:val="21"/>
                <w:szCs w:val="21"/>
              </w:rPr>
              <w:t>4．0升以上的</w:t>
            </w:r>
          </w:p>
        </w:tc>
        <w:tc>
          <w:tcPr>
            <w:tcW w:w="1422" w:type="dxa"/>
            <w:vMerge w:val="continue"/>
            <w:tcBorders>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p>
        </w:tc>
        <w:tc>
          <w:tcPr>
            <w:tcW w:w="1724"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r>
              <w:rPr>
                <w:rFonts w:hint="eastAsia" w:ascii="仿宋" w:hAnsi="仿宋" w:eastAsia="仿宋" w:cs="仿宋"/>
                <w:spacing w:val="-1"/>
                <w:kern w:val="0"/>
                <w:sz w:val="21"/>
                <w:szCs w:val="21"/>
              </w:rPr>
              <w:t>3600元至5400元</w:t>
            </w:r>
          </w:p>
        </w:tc>
        <w:tc>
          <w:tcPr>
            <w:tcW w:w="1695" w:type="dxa"/>
            <w:vMerge w:val="continue"/>
            <w:tcBorders>
              <w:left w:val="single" w:color="auto" w:sz="6" w:space="0"/>
              <w:bottom w:val="single" w:color="auto" w:sz="6" w:space="0"/>
              <w:right w:val="single" w:color="auto" w:sz="6" w:space="0"/>
              <w:tl2br w:val="nil"/>
              <w:tr2bl w:val="nil"/>
            </w:tcBorders>
            <w:vAlign w:val="center"/>
          </w:tcPr>
          <w:p>
            <w:pPr>
              <w:spacing w:beforeLines="0" w:afterLines="0"/>
              <w:ind w:left="-90"/>
              <w:jc w:val="both"/>
              <w:rPr>
                <w:rFonts w:hint="eastAsia" w:ascii="仿宋" w:hAnsi="仿宋" w:eastAsia="仿宋" w:cs="仿宋"/>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64" w:hRule="atLeast"/>
          <w:jc w:val="center"/>
        </w:trPr>
        <w:tc>
          <w:tcPr>
            <w:tcW w:w="852" w:type="dxa"/>
            <w:vMerge w:val="restart"/>
            <w:tcBorders>
              <w:top w:val="single" w:color="auto" w:sz="6" w:space="0"/>
              <w:left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商用车</w:t>
            </w:r>
          </w:p>
        </w:tc>
        <w:tc>
          <w:tcPr>
            <w:tcW w:w="2829"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r>
              <w:rPr>
                <w:rFonts w:hint="eastAsia" w:ascii="仿宋" w:hAnsi="仿宋" w:eastAsia="仿宋" w:cs="仿宋"/>
                <w:spacing w:val="-1"/>
                <w:kern w:val="0"/>
                <w:sz w:val="21"/>
                <w:szCs w:val="21"/>
              </w:rPr>
              <w:t>客车</w:t>
            </w:r>
          </w:p>
        </w:tc>
        <w:tc>
          <w:tcPr>
            <w:tcW w:w="1422"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r>
              <w:rPr>
                <w:rFonts w:hint="eastAsia" w:ascii="仿宋" w:hAnsi="仿宋" w:eastAsia="仿宋" w:cs="仿宋"/>
                <w:spacing w:val="-1"/>
                <w:kern w:val="0"/>
                <w:sz w:val="21"/>
                <w:szCs w:val="21"/>
              </w:rPr>
              <w:t>每辆</w:t>
            </w:r>
          </w:p>
        </w:tc>
        <w:tc>
          <w:tcPr>
            <w:tcW w:w="1724"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r>
              <w:rPr>
                <w:rFonts w:hint="eastAsia" w:ascii="仿宋" w:hAnsi="仿宋" w:eastAsia="仿宋" w:cs="仿宋"/>
                <w:spacing w:val="-1"/>
                <w:kern w:val="0"/>
                <w:sz w:val="21"/>
                <w:szCs w:val="21"/>
              </w:rPr>
              <w:t>480元至1440元</w:t>
            </w:r>
          </w:p>
        </w:tc>
        <w:tc>
          <w:tcPr>
            <w:tcW w:w="1695"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核定载客人数9人以上，包括电车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67" w:hRule="atLeast"/>
          <w:jc w:val="center"/>
        </w:trPr>
        <w:tc>
          <w:tcPr>
            <w:tcW w:w="852" w:type="dxa"/>
            <w:vMerge w:val="continue"/>
            <w:tcBorders>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p>
        </w:tc>
        <w:tc>
          <w:tcPr>
            <w:tcW w:w="2829"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r>
              <w:rPr>
                <w:rFonts w:hint="eastAsia" w:ascii="仿宋" w:hAnsi="仿宋" w:eastAsia="仿宋" w:cs="仿宋"/>
                <w:spacing w:val="-1"/>
                <w:kern w:val="0"/>
                <w:sz w:val="21"/>
                <w:szCs w:val="21"/>
              </w:rPr>
              <w:t>货车</w:t>
            </w:r>
          </w:p>
        </w:tc>
        <w:tc>
          <w:tcPr>
            <w:tcW w:w="1422"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r>
              <w:rPr>
                <w:rFonts w:hint="eastAsia" w:ascii="仿宋" w:hAnsi="仿宋" w:eastAsia="仿宋" w:cs="仿宋"/>
                <w:spacing w:val="-1"/>
                <w:kern w:val="0"/>
                <w:sz w:val="21"/>
                <w:szCs w:val="21"/>
              </w:rPr>
              <w:t>整备质量每吨</w:t>
            </w:r>
          </w:p>
        </w:tc>
        <w:tc>
          <w:tcPr>
            <w:tcW w:w="1724"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r>
              <w:rPr>
                <w:rFonts w:hint="eastAsia" w:ascii="仿宋" w:hAnsi="仿宋" w:eastAsia="仿宋" w:cs="仿宋"/>
                <w:spacing w:val="-1"/>
                <w:kern w:val="0"/>
                <w:sz w:val="21"/>
                <w:szCs w:val="21"/>
              </w:rPr>
              <w:t>16元</w:t>
            </w:r>
            <w:bookmarkStart w:id="2" w:name="_GoBack"/>
            <w:bookmarkEnd w:id="2"/>
            <w:r>
              <w:rPr>
                <w:rFonts w:hint="eastAsia" w:ascii="仿宋" w:hAnsi="仿宋" w:eastAsia="仿宋" w:cs="仿宋"/>
                <w:spacing w:val="-1"/>
                <w:kern w:val="0"/>
                <w:sz w:val="21"/>
                <w:szCs w:val="21"/>
              </w:rPr>
              <w:t>至120元</w:t>
            </w:r>
          </w:p>
        </w:tc>
        <w:tc>
          <w:tcPr>
            <w:tcW w:w="1695"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包括半挂牵引车、三轮汽车和低速载货汽车等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75" w:hRule="atLeast"/>
          <w:jc w:val="center"/>
        </w:trPr>
        <w:tc>
          <w:tcPr>
            <w:tcW w:w="852"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r>
              <w:rPr>
                <w:rFonts w:hint="eastAsia" w:ascii="仿宋" w:hAnsi="仿宋" w:eastAsia="仿宋" w:cs="仿宋"/>
                <w:spacing w:val="-1"/>
                <w:kern w:val="0"/>
                <w:sz w:val="21"/>
                <w:szCs w:val="21"/>
              </w:rPr>
              <w:t>挂车</w:t>
            </w:r>
          </w:p>
        </w:tc>
        <w:tc>
          <w:tcPr>
            <w:tcW w:w="2829"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p>
        </w:tc>
        <w:tc>
          <w:tcPr>
            <w:tcW w:w="1422"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r>
              <w:rPr>
                <w:rFonts w:hint="eastAsia" w:ascii="仿宋" w:hAnsi="仿宋" w:eastAsia="仿宋" w:cs="仿宋"/>
                <w:spacing w:val="-1"/>
                <w:kern w:val="0"/>
                <w:sz w:val="21"/>
                <w:szCs w:val="21"/>
              </w:rPr>
              <w:t>整备质量每吨</w:t>
            </w:r>
          </w:p>
        </w:tc>
        <w:tc>
          <w:tcPr>
            <w:tcW w:w="1724"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pacing w:val="-1"/>
                <w:kern w:val="0"/>
                <w:sz w:val="21"/>
                <w:szCs w:val="21"/>
              </w:rPr>
            </w:pPr>
            <w:r>
              <w:rPr>
                <w:rFonts w:hint="eastAsia" w:ascii="仿宋" w:hAnsi="仿宋" w:eastAsia="仿宋" w:cs="仿宋"/>
                <w:spacing w:val="-1"/>
                <w:kern w:val="0"/>
                <w:sz w:val="21"/>
                <w:szCs w:val="21"/>
              </w:rPr>
              <w:t>按照货车税额的</w:t>
            </w:r>
          </w:p>
          <w:p>
            <w:pPr>
              <w:spacing w:beforeLines="0" w:afterLines="0"/>
              <w:ind w:left="-90"/>
              <w:jc w:val="center"/>
              <w:rPr>
                <w:rFonts w:hint="eastAsia" w:ascii="仿宋" w:hAnsi="仿宋" w:eastAsia="仿宋" w:cs="仿宋"/>
                <w:sz w:val="21"/>
                <w:szCs w:val="21"/>
              </w:rPr>
            </w:pPr>
            <w:r>
              <w:rPr>
                <w:rFonts w:hint="eastAsia" w:ascii="仿宋" w:hAnsi="仿宋" w:eastAsia="仿宋" w:cs="仿宋"/>
                <w:spacing w:val="-1"/>
                <w:kern w:val="0"/>
                <w:sz w:val="21"/>
                <w:szCs w:val="21"/>
              </w:rPr>
              <w:t>50％计算</w:t>
            </w:r>
          </w:p>
        </w:tc>
        <w:tc>
          <w:tcPr>
            <w:tcW w:w="1695"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both"/>
              <w:rPr>
                <w:rFonts w:hint="eastAsia" w:ascii="仿宋" w:hAnsi="仿宋" w:eastAsia="仿宋" w:cs="仿宋"/>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558" w:hRule="atLeast"/>
          <w:jc w:val="center"/>
        </w:trPr>
        <w:tc>
          <w:tcPr>
            <w:tcW w:w="852" w:type="dxa"/>
            <w:vMerge w:val="restart"/>
            <w:tcBorders>
              <w:top w:val="single" w:color="auto" w:sz="6" w:space="0"/>
              <w:left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pacing w:val="-1"/>
                <w:kern w:val="0"/>
                <w:sz w:val="21"/>
                <w:szCs w:val="21"/>
              </w:rPr>
            </w:pPr>
            <w:r>
              <w:rPr>
                <w:rFonts w:hint="eastAsia" w:ascii="仿宋" w:hAnsi="仿宋" w:eastAsia="仿宋" w:cs="仿宋"/>
                <w:spacing w:val="-1"/>
                <w:kern w:val="0"/>
                <w:sz w:val="21"/>
                <w:szCs w:val="21"/>
              </w:rPr>
              <w:t>其他</w:t>
            </w:r>
          </w:p>
          <w:p>
            <w:pPr>
              <w:spacing w:beforeLines="0" w:afterLines="0"/>
              <w:ind w:left="-90"/>
              <w:jc w:val="center"/>
              <w:rPr>
                <w:rFonts w:hint="eastAsia" w:ascii="仿宋" w:hAnsi="仿宋" w:eastAsia="仿宋" w:cs="仿宋"/>
                <w:sz w:val="21"/>
                <w:szCs w:val="21"/>
              </w:rPr>
            </w:pPr>
            <w:r>
              <w:rPr>
                <w:rFonts w:hint="eastAsia" w:ascii="仿宋" w:hAnsi="仿宋" w:eastAsia="仿宋" w:cs="仿宋"/>
                <w:spacing w:val="-1"/>
                <w:kern w:val="0"/>
                <w:sz w:val="21"/>
                <w:szCs w:val="21"/>
              </w:rPr>
              <w:t>车辆</w:t>
            </w:r>
          </w:p>
        </w:tc>
        <w:tc>
          <w:tcPr>
            <w:tcW w:w="2829"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r>
              <w:rPr>
                <w:rFonts w:hint="eastAsia" w:ascii="仿宋" w:hAnsi="仿宋" w:eastAsia="仿宋" w:cs="仿宋"/>
                <w:spacing w:val="-1"/>
                <w:kern w:val="0"/>
                <w:sz w:val="21"/>
                <w:szCs w:val="21"/>
              </w:rPr>
              <w:t>专用作业车</w:t>
            </w:r>
          </w:p>
        </w:tc>
        <w:tc>
          <w:tcPr>
            <w:tcW w:w="1422" w:type="dxa"/>
            <w:vMerge w:val="restart"/>
            <w:tcBorders>
              <w:top w:val="single" w:color="auto" w:sz="6" w:space="0"/>
              <w:left w:val="single" w:color="auto" w:sz="6" w:space="0"/>
              <w:bottom w:val="nil"/>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r>
              <w:rPr>
                <w:rFonts w:hint="eastAsia" w:ascii="仿宋" w:hAnsi="仿宋" w:eastAsia="仿宋" w:cs="仿宋"/>
                <w:spacing w:val="-1"/>
                <w:kern w:val="0"/>
                <w:sz w:val="21"/>
                <w:szCs w:val="21"/>
              </w:rPr>
              <w:t>整备质量每吨</w:t>
            </w:r>
          </w:p>
        </w:tc>
        <w:tc>
          <w:tcPr>
            <w:tcW w:w="1724"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r>
              <w:rPr>
                <w:rFonts w:hint="eastAsia" w:ascii="仿宋" w:hAnsi="仿宋" w:eastAsia="仿宋" w:cs="仿宋"/>
                <w:spacing w:val="-1"/>
                <w:kern w:val="0"/>
                <w:sz w:val="21"/>
                <w:szCs w:val="21"/>
              </w:rPr>
              <w:t>16元至120元</w:t>
            </w:r>
          </w:p>
        </w:tc>
        <w:tc>
          <w:tcPr>
            <w:tcW w:w="1695" w:type="dxa"/>
            <w:vMerge w:val="restart"/>
            <w:tcBorders>
              <w:top w:val="single" w:color="auto" w:sz="6" w:space="0"/>
              <w:left w:val="single" w:color="auto" w:sz="6" w:space="0"/>
              <w:bottom w:val="nil"/>
              <w:right w:val="single" w:color="auto" w:sz="6" w:space="0"/>
              <w:tl2br w:val="nil"/>
              <w:tr2bl w:val="nil"/>
            </w:tcBorders>
            <w:vAlign w:val="center"/>
          </w:tcPr>
          <w:p>
            <w:pPr>
              <w:spacing w:beforeLines="0" w:afterLines="0"/>
              <w:ind w:left="-90"/>
              <w:jc w:val="both"/>
              <w:rPr>
                <w:rFonts w:hint="eastAsia" w:ascii="仿宋" w:hAnsi="仿宋" w:eastAsia="仿宋" w:cs="仿宋"/>
                <w:spacing w:val="-1"/>
                <w:kern w:val="0"/>
                <w:sz w:val="21"/>
                <w:szCs w:val="21"/>
              </w:rPr>
            </w:pPr>
          </w:p>
          <w:p>
            <w:pPr>
              <w:spacing w:beforeLines="0" w:afterLines="0"/>
              <w:ind w:left="-90"/>
              <w:jc w:val="both"/>
              <w:rPr>
                <w:rFonts w:hint="eastAsia" w:ascii="仿宋" w:hAnsi="仿宋" w:eastAsia="仿宋" w:cs="仿宋"/>
                <w:sz w:val="21"/>
                <w:szCs w:val="21"/>
              </w:rPr>
            </w:pPr>
            <w:r>
              <w:rPr>
                <w:rFonts w:hint="eastAsia" w:ascii="仿宋" w:hAnsi="仿宋" w:eastAsia="仿宋" w:cs="仿宋"/>
                <w:spacing w:val="-1"/>
                <w:kern w:val="0"/>
                <w:sz w:val="21"/>
                <w:szCs w:val="21"/>
              </w:rPr>
              <w:t>不包括拖拉机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570" w:hRule="atLeast"/>
          <w:jc w:val="center"/>
        </w:trPr>
        <w:tc>
          <w:tcPr>
            <w:tcW w:w="852" w:type="dxa"/>
            <w:vMerge w:val="continue"/>
            <w:tcBorders>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p>
        </w:tc>
        <w:tc>
          <w:tcPr>
            <w:tcW w:w="2829"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r>
              <w:rPr>
                <w:rFonts w:hint="eastAsia" w:ascii="仿宋" w:hAnsi="仿宋" w:eastAsia="仿宋" w:cs="仿宋"/>
                <w:spacing w:val="-1"/>
                <w:kern w:val="0"/>
                <w:sz w:val="21"/>
                <w:szCs w:val="21"/>
              </w:rPr>
              <w:t>轮式专用机械车</w:t>
            </w:r>
          </w:p>
        </w:tc>
        <w:tc>
          <w:tcPr>
            <w:tcW w:w="1422" w:type="dxa"/>
            <w:vMerge w:val="continue"/>
            <w:tcBorders>
              <w:top w:val="nil"/>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p>
        </w:tc>
        <w:tc>
          <w:tcPr>
            <w:tcW w:w="1724"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r>
              <w:rPr>
                <w:rFonts w:hint="eastAsia" w:ascii="仿宋" w:hAnsi="仿宋" w:eastAsia="仿宋" w:cs="仿宋"/>
                <w:spacing w:val="-1"/>
                <w:kern w:val="0"/>
                <w:sz w:val="21"/>
                <w:szCs w:val="21"/>
              </w:rPr>
              <w:t>16元至120元</w:t>
            </w:r>
          </w:p>
        </w:tc>
        <w:tc>
          <w:tcPr>
            <w:tcW w:w="1695" w:type="dxa"/>
            <w:vMerge w:val="continue"/>
            <w:tcBorders>
              <w:top w:val="nil"/>
              <w:left w:val="single" w:color="auto" w:sz="6" w:space="0"/>
              <w:bottom w:val="single" w:color="auto" w:sz="6" w:space="0"/>
              <w:right w:val="single" w:color="auto" w:sz="6" w:space="0"/>
              <w:tl2br w:val="nil"/>
              <w:tr2bl w:val="nil"/>
            </w:tcBorders>
            <w:vAlign w:val="center"/>
          </w:tcPr>
          <w:p>
            <w:pPr>
              <w:spacing w:beforeLines="0" w:afterLines="0"/>
              <w:ind w:left="-90"/>
              <w:jc w:val="both"/>
              <w:rPr>
                <w:rFonts w:hint="eastAsia" w:ascii="仿宋" w:hAnsi="仿宋" w:eastAsia="仿宋" w:cs="仿宋"/>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4" w:hRule="atLeast"/>
          <w:jc w:val="center"/>
        </w:trPr>
        <w:tc>
          <w:tcPr>
            <w:tcW w:w="852"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摩托车</w:t>
            </w:r>
          </w:p>
        </w:tc>
        <w:tc>
          <w:tcPr>
            <w:tcW w:w="2829"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p>
        </w:tc>
        <w:tc>
          <w:tcPr>
            <w:tcW w:w="1422"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r>
              <w:rPr>
                <w:rFonts w:hint="eastAsia" w:ascii="仿宋" w:hAnsi="仿宋" w:eastAsia="仿宋" w:cs="仿宋"/>
                <w:spacing w:val="-1"/>
                <w:kern w:val="0"/>
                <w:sz w:val="21"/>
                <w:szCs w:val="21"/>
              </w:rPr>
              <w:t>每辆</w:t>
            </w:r>
          </w:p>
        </w:tc>
        <w:tc>
          <w:tcPr>
            <w:tcW w:w="1724"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r>
              <w:rPr>
                <w:rFonts w:hint="eastAsia" w:ascii="仿宋" w:hAnsi="仿宋" w:eastAsia="仿宋" w:cs="仿宋"/>
                <w:spacing w:val="-1"/>
                <w:kern w:val="0"/>
                <w:sz w:val="21"/>
                <w:szCs w:val="21"/>
              </w:rPr>
              <w:t>36元至180元</w:t>
            </w:r>
          </w:p>
        </w:tc>
        <w:tc>
          <w:tcPr>
            <w:tcW w:w="1695"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both"/>
              <w:rPr>
                <w:rFonts w:hint="eastAsia" w:ascii="仿宋" w:hAnsi="仿宋" w:eastAsia="仿宋" w:cs="仿宋"/>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1244" w:hRule="atLeast"/>
          <w:jc w:val="center"/>
        </w:trPr>
        <w:tc>
          <w:tcPr>
            <w:tcW w:w="852" w:type="dxa"/>
            <w:vMerge w:val="restart"/>
            <w:tcBorders>
              <w:top w:val="single" w:color="auto" w:sz="6" w:space="0"/>
              <w:left w:val="single" w:color="auto" w:sz="6" w:space="0"/>
              <w:bottom w:val="nil"/>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r>
              <w:rPr>
                <w:rFonts w:hint="eastAsia" w:ascii="仿宋" w:hAnsi="仿宋" w:eastAsia="仿宋" w:cs="仿宋"/>
                <w:spacing w:val="-1"/>
                <w:kern w:val="0"/>
                <w:sz w:val="21"/>
                <w:szCs w:val="21"/>
              </w:rPr>
              <w:t>船舶</w:t>
            </w:r>
          </w:p>
        </w:tc>
        <w:tc>
          <w:tcPr>
            <w:tcW w:w="2829"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r>
              <w:rPr>
                <w:rFonts w:hint="eastAsia" w:ascii="仿宋" w:hAnsi="仿宋" w:eastAsia="仿宋" w:cs="仿宋"/>
                <w:spacing w:val="-1"/>
                <w:kern w:val="0"/>
                <w:sz w:val="21"/>
                <w:szCs w:val="21"/>
              </w:rPr>
              <w:t>机动船舶</w:t>
            </w:r>
          </w:p>
        </w:tc>
        <w:tc>
          <w:tcPr>
            <w:tcW w:w="1422"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r>
              <w:rPr>
                <w:rFonts w:hint="eastAsia" w:ascii="仿宋" w:hAnsi="仿宋" w:eastAsia="仿宋" w:cs="仿宋"/>
                <w:spacing w:val="-1"/>
                <w:kern w:val="0"/>
                <w:sz w:val="21"/>
                <w:szCs w:val="21"/>
              </w:rPr>
              <w:t>净吨位每吨</w:t>
            </w:r>
          </w:p>
        </w:tc>
        <w:tc>
          <w:tcPr>
            <w:tcW w:w="1724"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r>
              <w:rPr>
                <w:rFonts w:hint="eastAsia" w:ascii="仿宋" w:hAnsi="仿宋" w:eastAsia="仿宋" w:cs="仿宋"/>
                <w:spacing w:val="-1"/>
                <w:kern w:val="0"/>
                <w:sz w:val="21"/>
                <w:szCs w:val="21"/>
              </w:rPr>
              <w:t>3元至6元</w:t>
            </w:r>
          </w:p>
        </w:tc>
        <w:tc>
          <w:tcPr>
            <w:tcW w:w="1695"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both"/>
              <w:rPr>
                <w:rFonts w:hint="eastAsia" w:ascii="仿宋" w:hAnsi="仿宋" w:eastAsia="仿宋" w:cs="仿宋"/>
                <w:sz w:val="21"/>
                <w:szCs w:val="21"/>
              </w:rPr>
            </w:pPr>
            <w:r>
              <w:rPr>
                <w:rFonts w:hint="eastAsia" w:ascii="仿宋" w:hAnsi="仿宋" w:eastAsia="仿宋" w:cs="仿宋"/>
                <w:spacing w:val="-1"/>
                <w:kern w:val="0"/>
                <w:sz w:val="21"/>
                <w:szCs w:val="21"/>
                <w:lang w:val="en-US" w:eastAsia="zh-CN"/>
              </w:rPr>
              <w:t>拖船、非机动驳船</w:t>
            </w:r>
            <w:r>
              <w:rPr>
                <w:rFonts w:hint="eastAsia" w:ascii="仿宋" w:hAnsi="仿宋" w:eastAsia="仿宋" w:cs="仿宋"/>
                <w:spacing w:val="-1"/>
                <w:kern w:val="0"/>
                <w:sz w:val="21"/>
                <w:szCs w:val="21"/>
              </w:rPr>
              <w:t>分别按照机动船舶税额的50％计算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639" w:hRule="atLeast"/>
          <w:jc w:val="center"/>
        </w:trPr>
        <w:tc>
          <w:tcPr>
            <w:tcW w:w="852" w:type="dxa"/>
            <w:vMerge w:val="continue"/>
            <w:tcBorders>
              <w:top w:val="nil"/>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p>
        </w:tc>
        <w:tc>
          <w:tcPr>
            <w:tcW w:w="2829"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r>
              <w:rPr>
                <w:rFonts w:hint="eastAsia" w:ascii="仿宋" w:hAnsi="仿宋" w:eastAsia="仿宋" w:cs="仿宋"/>
                <w:spacing w:val="-1"/>
                <w:kern w:val="0"/>
                <w:sz w:val="21"/>
                <w:szCs w:val="21"/>
              </w:rPr>
              <w:t>游艇</w:t>
            </w:r>
          </w:p>
        </w:tc>
        <w:tc>
          <w:tcPr>
            <w:tcW w:w="1422"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艇身长度每米</w:t>
            </w:r>
          </w:p>
        </w:tc>
        <w:tc>
          <w:tcPr>
            <w:tcW w:w="1724"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center"/>
              <w:rPr>
                <w:rFonts w:hint="eastAsia" w:ascii="仿宋" w:hAnsi="仿宋" w:eastAsia="仿宋" w:cs="仿宋"/>
                <w:sz w:val="21"/>
                <w:szCs w:val="21"/>
              </w:rPr>
            </w:pPr>
            <w:r>
              <w:rPr>
                <w:rFonts w:hint="eastAsia" w:ascii="仿宋" w:hAnsi="仿宋" w:eastAsia="仿宋" w:cs="仿宋"/>
                <w:spacing w:val="-1"/>
                <w:kern w:val="0"/>
                <w:sz w:val="21"/>
                <w:szCs w:val="21"/>
              </w:rPr>
              <w:t>600元至2000元</w:t>
            </w:r>
          </w:p>
        </w:tc>
        <w:tc>
          <w:tcPr>
            <w:tcW w:w="1695" w:type="dxa"/>
            <w:tcBorders>
              <w:top w:val="single" w:color="auto" w:sz="6" w:space="0"/>
              <w:left w:val="single" w:color="auto" w:sz="6" w:space="0"/>
              <w:bottom w:val="single" w:color="auto" w:sz="6" w:space="0"/>
              <w:right w:val="single" w:color="auto" w:sz="6" w:space="0"/>
              <w:tl2br w:val="nil"/>
              <w:tr2bl w:val="nil"/>
            </w:tcBorders>
            <w:vAlign w:val="center"/>
          </w:tcPr>
          <w:p>
            <w:pPr>
              <w:spacing w:beforeLines="0" w:afterLines="0"/>
              <w:ind w:left="-90"/>
              <w:jc w:val="both"/>
              <w:rPr>
                <w:rFonts w:hint="eastAsia" w:ascii="仿宋" w:hAnsi="仿宋" w:eastAsia="仿宋" w:cs="仿宋"/>
                <w:sz w:val="21"/>
                <w:szCs w:val="21"/>
              </w:rPr>
            </w:pPr>
          </w:p>
        </w:tc>
      </w:tr>
    </w:tbl>
    <w:p>
      <w:pPr>
        <w:ind w:firstLine="640"/>
        <w:rPr>
          <w:rFonts w:hint="eastAsia" w:ascii="黑体" w:hAnsi="黑体" w:eastAsia="黑体" w:cs="黑体"/>
          <w:lang w:val="en-US" w:eastAsia="zh-CN"/>
        </w:rPr>
      </w:pPr>
    </w:p>
    <w:p>
      <w:pPr>
        <w:ind w:firstLine="640"/>
        <w:rPr>
          <w:rFonts w:hint="eastAsia" w:ascii="仿宋_GB2312" w:hAnsi="仿宋_GB2312" w:cs="仿宋_GB2312"/>
          <w:lang w:val="en-US" w:eastAsia="zh-CN"/>
        </w:rPr>
      </w:pPr>
    </w:p>
    <w:p>
      <w:pPr>
        <w:ind w:firstLine="640"/>
        <w:rPr>
          <w:rFonts w:hint="eastAsia" w:ascii="仿宋_GB2312" w:hAnsi="仿宋_GB2312" w:cs="仿宋_GB2312"/>
          <w:lang w:val="en-US" w:eastAsia="zh-CN"/>
        </w:rPr>
      </w:pPr>
    </w:p>
    <w:p>
      <w:pPr>
        <w:rPr>
          <w:rFonts w:hint="eastAsia" w:ascii="仿宋_GB2312" w:hAnsi="仿宋_GB2312" w:cs="仿宋_GB2312"/>
          <w:lang w:val="en-US" w:eastAsia="zh-CN"/>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华文新魏">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sz w:val="28"/>
        <w:szCs w:val="28"/>
      </w:rPr>
      <w:t>－</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w:t>
    </w:r>
    <w:r>
      <w:rPr>
        <w:rFonts w:ascii="宋体" w:hAnsi="宋体"/>
        <w:sz w:val="28"/>
        <w:szCs w:val="28"/>
      </w:rPr>
      <w:fldChar w:fldCharType="end"/>
    </w:r>
    <w:r>
      <w:rPr>
        <w:rFonts w:hint="eastAsia" w:ascii="宋体" w:hAnsi="宋体"/>
        <w:sz w:val="28"/>
        <w:szCs w:val="28"/>
      </w:rPr>
      <w:t>－</w:t>
    </w:r>
    <w:r>
      <w:rPr>
        <w:rFonts w:hint="eastAsia" w:ascii="宋体" w:hAnsi="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sz w:val="28"/>
        <w:szCs w:val="28"/>
      </w:rPr>
    </w:pPr>
    <w:r>
      <w:rPr>
        <w:rFonts w:hint="eastAsia" w:ascii="宋体" w:hAnsi="宋体"/>
        <w:sz w:val="28"/>
        <w:szCs w:val="28"/>
        <w:lang w:eastAsia="zh-CN"/>
      </w:rPr>
      <w:t>　</w:t>
    </w:r>
    <w:r>
      <w:rPr>
        <w:rFonts w:hint="eastAsia" w:ascii="宋体" w:hAnsi="宋体"/>
        <w:sz w:val="28"/>
        <w:szCs w:val="28"/>
      </w:rPr>
      <w:t>－</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2</w:t>
    </w:r>
    <w:r>
      <w:rPr>
        <w:rFonts w:ascii="宋体" w:hAnsi="宋体"/>
        <w:sz w:val="28"/>
        <w:szCs w:val="28"/>
      </w:rPr>
      <w:fldChar w:fldCharType="end"/>
    </w:r>
    <w:r>
      <w:rPr>
        <w:rFonts w:hint="eastAsia" w:ascii="宋体" w:hAnsi="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4F7C7A"/>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75EBA"/>
    <w:rsid w:val="009D4E62"/>
    <w:rsid w:val="00A07177"/>
    <w:rsid w:val="00A87604"/>
    <w:rsid w:val="00B12059"/>
    <w:rsid w:val="00B32293"/>
    <w:rsid w:val="00B66A39"/>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2FA5367D"/>
    <w:rsid w:val="3A0F3190"/>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rFonts w:ascii="Calibri" w:hAnsi="Calibri" w:eastAsia="宋体"/>
      <w:kern w:val="0"/>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rFonts w:ascii="Calibri" w:hAnsi="Calibri" w:eastAsia="宋体"/>
      <w:kern w:val="0"/>
      <w:sz w:val="18"/>
      <w:szCs w:val="18"/>
    </w:rPr>
  </w:style>
  <w:style w:type="character" w:styleId="5">
    <w:name w:val="FollowedHyperlink"/>
    <w:semiHidden/>
    <w:unhideWhenUsed/>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Char"/>
    <w:link w:val="3"/>
    <w:qFormat/>
    <w:uiPriority w:val="99"/>
    <w:rPr>
      <w:sz w:val="18"/>
      <w:szCs w:val="18"/>
    </w:rPr>
  </w:style>
  <w:style w:type="character" w:customStyle="1" w:styleId="9">
    <w:name w:val="页脚 Char"/>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D08A17-B4E3-4E2A-AFC1-ECD8FCCFF3ED}">
  <ds:schemaRefs/>
</ds:datastoreItem>
</file>

<file path=docProps/app.xml><?xml version="1.0" encoding="utf-8"?>
<Properties xmlns="http://schemas.openxmlformats.org/officeDocument/2006/extended-properties" xmlns:vt="http://schemas.openxmlformats.org/officeDocument/2006/docPropsVTypes">
  <Template>Normal</Template>
  <Pages>3</Pages>
  <Words>170</Words>
  <Characters>971</Characters>
  <Lines>8</Lines>
  <Paragraphs>2</Paragraphs>
  <TotalTime>3</TotalTime>
  <ScaleCrop>false</ScaleCrop>
  <LinksUpToDate>false</LinksUpToDate>
  <CharactersWithSpaces>1139</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2019-12-02T02:23:20Z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