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中华人民共和国进出口关税条例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2003年11月23日中华人民共和国国务院令第392号公布　</w:t>
      </w:r>
      <w:bookmarkEnd w:id="0"/>
      <w:r>
        <w:rPr>
          <w:rFonts w:ascii="Times New Roman" w:hAnsi="Times New Roman" w:eastAsia="楷体_GB2312" w:cs="Times New Roman"/>
          <w:sz w:val="32"/>
          <w:szCs w:val="32"/>
        </w:rPr>
        <w:t>根据2011年1月8日《国务院关于废止和修改部分行政法规的决定》第一次修订　根据2013年12月7日《国务院关于修改部分行政法规的决定》第二次修订　根据2016年2月6日《国务院关于修改部分行政法规的决定》第三次修订　根据2017年3月1日《国务院关于修改和废止部分行政法规的决定》第四次修订)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为了贯彻对外开放政策，促进对外经济贸易和国民经济的发展，根据《中华人民共和国海关法》(以下简称《海关法》)的有关规定，制定本条例。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中华人民共和国准许进出口的货物、进境物品，除法律、行政法规另有规定外，海关依照本条例规定征收进出口关税。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国务院制定《中华人民共和国进出口税则》(以下简称《税则》)、《中华人民共和国进境物品进口税税率表》(以下简称《进境物品进口税税率表》)，规定关税的税目、税则号列和税率，作为本条例的组成部分。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设立关税税则委员会，负责《税则》和《进境物品进口税税率表》的税目、税则号列和税率的调整和解释，报国务院批准后执行；决定实行暂定税率的货物、税率和期限；决定关税配额税率；决定征收反倾销税、反补贴税、保障措施关税、报复性关税以及决定实施其他关税措施；决定特殊情况下税率的适用，以及履行国务院规定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进口货物的收货人、出口货物的发货人、进境物品的所有人，是关税的纳税义务人。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海关及其工作人员应当依照法定职权和法定程序履行关税征管职责，维护国家利益，保护纳税人合法权益，依法接受监督。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纳税义务人有权要求海关对其商业秘密予以保密，海关应当依法为纳税义务人保密。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海关对检举或者协助查获违反本条例行为的单位和个人，应当按照规定给予奖励，并负责保密。</w:t>
      </w:r>
    </w:p>
    <w:p>
      <w:pPr>
        <w:pStyle w:val="3"/>
        <w:bidi w:val="0"/>
      </w:pPr>
      <w:r>
        <w:t>第二章　进出口货物关税税率的设置和适用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进口关税设置最惠国税率、协定税率、特惠税率、普通税率、关税配额税率等税率。对进口货物在一定期限内可以实行暂定税率。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出口关税设置出口税率。对出口货物在一定期限内可以实行暂定税率。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原产于共同适用最惠国待遇条款的世界贸易组织成员的进口货物，原产于与中华人民共和国签订含有相互给予最惠国待遇条款的双边贸易协定的国家或者地区的进口货物，以及原产于中华人民共和国境内的进口货物，适用最惠国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原产于与中华人民共和国签订含有关税优惠条款的区域性贸易协定的国家或者地区的进口货物，适用协定税率。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原产于与中华人民共和国签订含有特殊关税优惠条款的贸易协定的国家或者地区的进口货物，适用特惠税率。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原产于本条第一款、第二款和第三款所列以外国家或者地区的进口货物，以及原产地不明的进口货物，适用普通税率。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适用最惠国税率的进口货物有暂定税率的，应当适用暂定税率；适用协定税率、特惠税率的进口货物有暂定税率的，应当从低适用税率；适用普通税率的进口货物，不适用暂定税率。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适用出口税率的出口货物有暂定税率的，应当适用暂定税率。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按照国家规定实行关税配额管理的进口货物，关税配额内的，适用关税配额税率；关税配额外的，其税率的适用按照本条例第十条、第十一条的规定执行。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按照有关法律、行政法规的规定对进口货物采取反倾销、反补贴、保障措施的，其税率的适用按照《中华人民共和国反倾销条例》、《中华人民共和国反补贴条例》和《中华人民共和国保障措施条例》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任何国家或者地区违反与中华人民共和国签订或者共同参加的贸易协定及相关协定，对中华人民共和国在贸易方面采取禁止、限制、加征关税或者其他影响正常贸易的措施的，对原产于该国家或者地区的进口货物可以征收报复性关税，适用报复性关税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征收报复性关税的货物、适用国别、税率、期限和征收办法，由国务院关税税则委员会决定并公布。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进出口货物，应当适用海关接受该货物申报进口或者出口之日实施的税率。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进口货物到达前，经海关核准先行申报的，应当适用装载该货物的运输工具申报进境之日实施的税率。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转关运输货物税率的适用日期，由海关总署另行规定。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有下列情形之一，需缴纳税款的，应当适用海关接受申报办理纳税手续之日实施的税率：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(一)保税货物经批准不复运出境的；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(二)减免税货物经批准转让或者移作他用的；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(三)暂时进境货物经批准不复运出境，以及暂时出境货物经批准不复运进境的；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(四)租赁进口货物，分期缴纳税款的。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补征和退还进出口货物关税，应当按照本条例第十五条或者第十六条的规定确定适用的税率。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因纳税义务人违反规定需要追征税款的，应当适用该行为发生之日实施的税率；行为发生之日不能确定的，适用海关发现该行为之日实施的税率。</w:t>
      </w:r>
    </w:p>
    <w:p>
      <w:pPr>
        <w:pStyle w:val="3"/>
        <w:bidi w:val="0"/>
      </w:pPr>
      <w:r>
        <w:t>第三章　进出口货物完税价格的确定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进口货物的完税价格由海关以符合本条第三款所列条件的成交价格以及该货物运抵中华人民共和国境内输入地点起卸前的运输及其相关费用、保险费为基础审查确定。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进口货物的成交价格，是指卖方向中华人民共和国境内销售该货物时买方为进口该货物向卖方实付、应付的，并按照本条例第十九条、第二十条规定调整后的价款总额，包括直接支付的价款和间接支付的价款。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进口货物的成交价格应当符合下列条件：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(一)对买方处置或者使用该货物不予限制，但法律、行政法规规定实施的限制、对货物转售地域的限制和对货物价格无实质性影响的限制除外；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(二)该货物的成交价格没有因搭售或者其他因素的影响而无法确定；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(三)卖方不得从买方直接或者间接获得因该货物进口后转售、处置或者使用而产生的任何收益，或者虽有收益但能够按照本条例第十九条、第二十条的规定进行调整；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(四)买卖双方没有特殊关系，或者虽有特殊关系但未对成交价格产生影响。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进口货物的下列费用应当计入完税价格：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(一)由买方负担的购货佣金以外的佣金和经纪费；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(二)由买方负担的在审查确定完税价格时与该货物视为一体的容器的费用；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(三)由买方负担的包装材料费用和包装劳务费用；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与该货物的生产和向中华人民共和国境内销售有关的，由买方以免费或者以低于成本的方式提供并可以按适当比例分摊的料件、工具、模具、消耗材料及类似货物的价款，以及在境外开发、设计等相关服务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(五)作为该货物向中华人民共和国境内销售的条件，买方必须支付的、与该货物有关的特许权使用费；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(六)卖方直接或者间接从买方获得的该货物进口后转售、处置或者使用的收益。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进口时在货物的价款中列明的下列税收、费用，不计入该货物的完税价格：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(一)厂房、机械、设备等货物进口后进行建设、安装、装配、维修和技术服务的费用；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(二)进口货物运抵境内输入地点起卸后的运输及其相关费用、保险费；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(三)进口关税及国内税收。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进口货物的成交价格不符合本条例第十八条第三款规定条件的，或者成交价格不能确定的，海关经了解有关情况，并与纳税义务人进行价格磋商后，依次以下列价格估定该货物的完税价格：</w:t>
      </w:r>
    </w:p>
    <w:p>
      <w:pPr>
        <w:pStyle w:val="10"/>
        <w:ind w:firstLine="640" w:firstLineChars="200"/>
        <w:rPr>
          <w:rFonts w:hint="eastAsia" w:ascii="Times New Roman" w:hAnsi="Times New Roman" w:eastAsia="仿宋_GB2312" w:cs="Times New Roman"/>
          <w:sz w:val="32"/>
          <w:szCs w:val="32"/>
          <w:lang w:eastAsia="zh-CN"/>
        </w:rPr>
      </w:pPr>
      <w:r>
        <w:rPr>
          <w:rFonts w:ascii="Times New Roman" w:hAnsi="Times New Roman" w:eastAsia="仿宋_GB2312" w:cs="Times New Roman"/>
          <w:sz w:val="32"/>
          <w:szCs w:val="32"/>
        </w:rPr>
        <w:t>(一)与该货物同时或者大约同时向中华人民共和国境内销售的相同货物的成交价格</w:t>
      </w:r>
      <w:r>
        <w:rPr>
          <w:rFonts w:hint="eastAsia" w:ascii="Times New Roman" w:hAnsi="Times New Roman" w:eastAsia="仿宋_GB2312" w:cs="Times New Roman"/>
          <w:sz w:val="32"/>
          <w:szCs w:val="32"/>
          <w:lang w:eastAsia="zh-CN"/>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(二)与该货物同时或者大约同时向中华人民共和国境内销售的类似货物的成交价格</w:t>
      </w:r>
      <w:r>
        <w:rPr>
          <w:rFonts w:hint="eastAsia" w:ascii="Times New Roman" w:hAnsi="Times New Roman" w:eastAsia="仿宋_GB2312" w:cs="Times New Roman"/>
          <w:sz w:val="32"/>
          <w:szCs w:val="32"/>
          <w:lang w:eastAsia="zh-CN"/>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(三)与该货物进口的同时或者大约同时，将该进口货物、相同或者类似进口货物在第一级销售环节销售给无特殊关系买方最大销售总量的单位价格，但应当扣除本条例第二十二条规定的项目</w:t>
      </w:r>
      <w:r>
        <w:rPr>
          <w:rFonts w:hint="eastAsia" w:ascii="Times New Roman" w:hAnsi="Times New Roman" w:eastAsia="仿宋_GB2312" w:cs="Times New Roman"/>
          <w:sz w:val="32"/>
          <w:szCs w:val="32"/>
          <w:lang w:eastAsia="zh-CN"/>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下列各项总和计算的价格：生产该货物所使用的料件成本和加工费用，向中华人民共和国境内销售同等级或者同种类货物通常的利润和一般费用，该货物运抵境内输入地点起卸前的运输及其相关费用、保险费</w:t>
      </w:r>
      <w:r>
        <w:rPr>
          <w:rFonts w:hint="eastAsia" w:ascii="Times New Roman" w:hAnsi="Times New Roman" w:eastAsia="仿宋_GB2312" w:cs="Times New Roman"/>
          <w:sz w:val="32"/>
          <w:szCs w:val="32"/>
          <w:lang w:eastAsia="zh-CN"/>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(五)以合理方法估定的价格。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纳税义务人向海关提供有关资料后，可以提出申请，颠倒前款第(三)项和第(四)项的适用次序。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按照本条例第二十一条第一款第(三)项规定估定完税价格，应当扣除的项目是指：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(一)同等级或者同种类货物在中华人民共和国境内第一级销售环节销售时通常的利润和一般费用以及通常支付的佣金；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(二)进口货物运抵境内输入地点起卸后的运输及其相关费用、保险费；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(三)进口关税及国内税收。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以租赁方式进口的货物，以海关审查确定的该货物的租金作为完税价格。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纳税义务人要求一次性缴纳税款的，纳税义务人可以选择按照本条例第二十一条的规定估定完税价格，或者按照海关审查确定的租金总额作为完税价格。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运往境外加工的货物，出境时已向海关报明并在海关规定的期限内复运进境的，应当以境外加工费和料件费以及复运进境的运输及其相关费用和保险费审查确定完税价格。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运往境外修理的机械器具、运输工具或者其他货物，出境时已向海关报明并在海关规定的期限内复运进境的，应当以境外修理费和料件费审查确定完税价格。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出口货物的完税价格由海关以该货物的成交价格以及该货物运至中华人民共和国境内输出地点装载前的运输及其相关费用、保险费为基础审查确定。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出口货物的成交价格，是指该货物出口时卖方为出口该货物应当向买方直接收取和间接收取的价款总额。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出口关税不计入完税价格。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出口货物的成交价格不能确定的，海关经了解有关情况，并与纳税义务人进行价格磋商后，依次以下列价格估定该货物的完税价格：</w:t>
      </w:r>
    </w:p>
    <w:p>
      <w:pPr>
        <w:pStyle w:val="10"/>
        <w:ind w:firstLine="640" w:firstLineChars="200"/>
        <w:rPr>
          <w:rFonts w:hint="eastAsia" w:ascii="Times New Roman" w:hAnsi="Times New Roman" w:eastAsia="仿宋_GB2312" w:cs="Times New Roman"/>
          <w:sz w:val="32"/>
          <w:szCs w:val="32"/>
          <w:lang w:eastAsia="zh-CN"/>
        </w:rPr>
      </w:pPr>
      <w:r>
        <w:rPr>
          <w:rFonts w:ascii="Times New Roman" w:hAnsi="Times New Roman" w:eastAsia="仿宋_GB2312" w:cs="Times New Roman"/>
          <w:sz w:val="32"/>
          <w:szCs w:val="32"/>
        </w:rPr>
        <w:t>(一)与该货物同时或者大约同时向同一国家或者地区出口的相同货物的成交价格</w:t>
      </w:r>
      <w:r>
        <w:rPr>
          <w:rFonts w:hint="eastAsia" w:ascii="Times New Roman" w:hAnsi="Times New Roman" w:eastAsia="仿宋_GB2312" w:cs="Times New Roman"/>
          <w:sz w:val="32"/>
          <w:szCs w:val="32"/>
          <w:lang w:eastAsia="zh-CN"/>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(二)与该货物同时或者大约同时向同一国家或者地区出口的类似货物的成交价格</w:t>
      </w:r>
      <w:r>
        <w:rPr>
          <w:rFonts w:hint="eastAsia" w:ascii="Times New Roman" w:hAnsi="Times New Roman" w:eastAsia="仿宋_GB2312" w:cs="Times New Roman"/>
          <w:sz w:val="32"/>
          <w:szCs w:val="32"/>
          <w:lang w:eastAsia="zh-CN"/>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(三)按照下列各项总和计算的价格：境内生产相同或者类似货物的料件成本、加工费用，通常的利润和一般费用，境内发生的运输及其相关费用、保险费</w:t>
      </w:r>
      <w:r>
        <w:rPr>
          <w:rFonts w:hint="eastAsia" w:ascii="Times New Roman" w:hAnsi="Times New Roman" w:eastAsia="仿宋_GB2312" w:cs="Times New Roman"/>
          <w:sz w:val="32"/>
          <w:szCs w:val="32"/>
          <w:lang w:eastAsia="zh-CN"/>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(四)以合理方法估定的价格。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按照本条例规定计入或者不计入完税价格的成本、费用、税收，应当以客观、可量化的数据为依据。</w:t>
      </w:r>
    </w:p>
    <w:p>
      <w:pPr>
        <w:pStyle w:val="3"/>
        <w:bidi w:val="0"/>
      </w:pPr>
      <w:r>
        <w:t>第四章　进出口货物关税的征收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进口货物的纳税义务人应当自运输工具申报进境之日起14日内，出口货物的纳税义务人除海关特准的外，应当在货物运抵海关监管区后、装货的24小时以前，向货物的进出境地海关申报。进出口货物转关运输的，按照海关总署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进口货物到达前，纳税义务人经海关核准可以先行申报。具体办法由海关总署另行规定。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纳税义务人应当依法如实向海关申报，并按照海关的规定提供有关确定完税价格、进行商品归类、确定原产地以及采取反倾销、反补贴或者保障措施等所需的资料；必要时，海关可以要求纳税义务人补充申报。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纳税义务人应当按照《税则》规定的目录条文和归类总规则、类注、章注、子目注释以及其他归类注释，对其申报的进出口货物进行商品归类，并归入相应的税则号列；海关应当依法审核确定该货物的商品归类。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海关可以要求纳税义务人提供确定商品归类所需的有关资料；必要时，海关可以组织化验、检验，并将海关认定的化验、检验结果作为商品归类的依据。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海关为审查申报价格的真实性和准确性，可以查阅、复制与进出口货物有关的合同、发票、账册、结付汇凭证、单据、业务函电、录音录像制品和其他反映买卖双方关系及交易活动的资料。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对纳税义务人申报的价格有怀疑并且所涉关税数额较大的，经直属海关关长或者其授权的隶属海关关长批准，凭海关总署统一格式的协助查询账户通知书及有关工作人员的工作证件，可以查询纳税义务人在银行或者其他金融机构开立的单位账户的资金往来情况，并向银行业监督管理机构通报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海关对纳税义务人申报的价格有怀疑的，应当将怀疑的理由书面告知纳税义务人，要求其在规定的期限内书面作出说明、提供有关资料。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纳税义务人在规定的期限内未作说明、未提供有关资料的，或者海关仍有理由怀疑申报价格的真实性和准确性的，海关可以不接受纳税义务人申报的价格，并按照本条例第三章的规定估定完税价格。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海关审查确定进出口货物的完税价格后，纳税义务人可以以书面形式要求海关就如何确定其进出口货物的完税价格作出书面说明，海关应当向纳税义务人作出书面说明。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进出口货物关税，以从价计征、从量计征或者国家规定的其他方式征收。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从价计征的计算公式为：应纳税额＝完税价格</w:t>
      </w:r>
      <w:r>
        <w:rPr>
          <w:rFonts w:hAnsi="宋体" w:cs="Times New Roman"/>
          <w:sz w:val="32"/>
          <w:szCs w:val="32"/>
        </w:rPr>
        <w:t>×</w:t>
      </w:r>
      <w:r>
        <w:rPr>
          <w:rFonts w:ascii="Times New Roman" w:hAnsi="Times New Roman" w:eastAsia="仿宋_GB2312" w:cs="Times New Roman"/>
          <w:sz w:val="32"/>
          <w:szCs w:val="32"/>
        </w:rPr>
        <w:t>关税税率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从量计征的计算公式为：应纳税额＝货物数量</w:t>
      </w:r>
      <w:r>
        <w:rPr>
          <w:rFonts w:hAnsi="宋体" w:cs="Times New Roman"/>
          <w:sz w:val="32"/>
          <w:szCs w:val="32"/>
        </w:rPr>
        <w:t>×</w:t>
      </w:r>
      <w:r>
        <w:rPr>
          <w:rFonts w:ascii="Times New Roman" w:hAnsi="Times New Roman" w:eastAsia="仿宋_GB2312" w:cs="Times New Roman"/>
          <w:sz w:val="32"/>
          <w:szCs w:val="32"/>
        </w:rPr>
        <w:t>单位税额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纳税义务人应当自海关填发税款缴款书之日起15日内向指定银行缴纳税款。纳税义务人未按期缴纳税款的，从滞纳税款之日起，按日加收滞纳税款万分之五的滞纳金。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海关可以对纳税义务人欠缴税款的情况予以公告。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海关征收关税、滞纳金等，应当制发缴款凭证，缴款凭证格式由海关总署规定。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海关征收关税、滞纳金等，应当按人民币计征。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出口货物的成交价格以及有关费用以外币计价的，以中国人民银行公布的基准汇率折合为人民币计算完税价格；以基准汇率币种以外的外币计价的，按照国家有关规定套算为人民币计算完税价格。适用汇率的日期由海关总署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纳税义务人因不可抗力或者在国家税收政策调整的情形下，不能按期缴纳税款的，经依法提供税款担保后，可以延期缴纳税款，但是最长不得超过6个月。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进出口货物的纳税义务人在规定的纳税期限内有明显的转移、藏匿其应税货物以及其他财产迹象的，海关可以责令纳税义务人提供担保；纳税义务人不能提供担保的，海关可以按照《海关法》第六十一条的规定采取税收保全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纳税义务人、担保人自缴纳税款期限届满之日起超过3个月仍未缴纳税款的，海关可以按照《海关法》第六十条的规定采取强制措施。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加工贸易的进口料件按照国家规定保税进口的，其制成品或者进口料件未在规定的期限内出口的，海关按照规定征收进口关税。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加工贸易的进口料件进境时按照国家规定征收进口关税的，其制成品或者进口料件在规定的期限内出口的，海关按照有关规定退还进境时已征收的关税税款。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暂时进境或者暂时出境的下列货物，在进境或者出境时纳税义务人向海关缴纳相当于应纳税款的保证金或者提供其他担保的，可以暂不缴纳关税，并应当自进境或者出境之日起6个月内复运出境或者复运进境；需要延长复运出境或者复运进境期限的，纳税义务人应当根据海关总署的规定向海关办理延期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(一)在展览会、交易会、会议及类似活动中展示或者使用的货物；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(二)文化、体育交流活动中使用的表演、比赛用品；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(三)进行新闻报道或者摄制电影、电视节目使用的仪器、设备及用品；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(四)开展科研、教学、医疗活动使用的仪器、设备及用品；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(五)在本款第(一)项至第(四)项所列活动中使用的交通工具及特种车辆；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(六)货样；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(七)供安装、调试、检测设备时使用的仪器、工具；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(八)盛装货物的容器；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(九)其他用于非商业目的的货物。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第一款所列暂时进境货物在规定的期限内未复运出境的，或者暂时出境货物在规定的期限内未复运进境的，海关应当依法征收关税。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第一款所列可以暂时免征关税范围以外的其他暂时进境货物，应当按照该货物的完税价格和其在境内滞留时间与折旧时间的比例计算征收进口关税。具体办法由海关总署规定。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因品质或者规格原因，出口货物自出口之日起1年内原状复运进境的，不征收进口关税。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因品质或者规格原因，进口货物自进口之日起1年内原状复运出境的，不征收出口关税。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因残损、短少、品质不良或者规格不符原因，由进出口货物的发货人、承运人或者保险公司免费补偿或者更换的相同货物，进出口时不征收关税。被免费更换的原进口货物不退运出境或者原出口货物不退运进境的，海关应当对原进出口货物重新按照规定征收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下列进出口货物，免征关税：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(一)关税税额在人民币50元以下的一票货物；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(二)无商业价值的广告品和货样；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(三)外国政府、国际组织无偿赠送的物资；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(四)在海关放行前损失的货物；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(五)进出境运输工具装载的途中必需的燃料、物料和饮食用品。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在海关放行前遭受损坏的货物，可以根据海关认定的受损程度减征关税。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法律规定的其他免征或者减征关税的货物，海关根据规定予以免征或者减征。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特定地区、特定企业或者有特定用途的进出口货物减征或者免征关税，以及临时减征或者免征关税，按照国务院的有关规定执行。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进口货物减征或者免征进口环节海关代征税，按照有关法律、行政法规的规定执行。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纳税义务人进出口减免税货物的，除另有规定外，应当在进出口该货物之前，按照规定持有关文件向海关办理减免税审批手续。经海关审查符合规定的，予以减征或者免征关税。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需由海关监管使用的减免税进口货物，在监管年限内转让或者移作他用需要补税的，海关应当根据该货物进口时间折旧估价，补征进口关税。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特定减免税进口货物的监管年限由海关总署规定。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有下列情形之一的，纳税义务人自缴纳税款之日起1年内，可以申请退还关税，并应当以书面形式向海关说明理由，提供原缴款凭证及相关资料：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(一)已征进口关税的货物，因品质或者规格原因，原状退货复运出境的；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(二)已征出口关税的货物，因品质或者规格原因，原状退货复运进境，并已重新缴纳因出口而退还的国内环节有关税收的；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(三)已征出口关税的货物，因故未装运出口，申报退关的。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海关应当自受理退税申请之日起30日内查实并通知纳税义务人办理退还手续。纳税义务人应当自收到通知之日起3个月内办理有关退税手续。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按照其他有关法律、行政法规规定应当退还关税的，海关应当按照有关法律、行政法规的规定退税。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进出口货物放行后，海关发现少征或者漏征税款的，应当自缴纳税款或者货物放行之日起1年内，向纳税义务人补征税款。但因纳税义务人违反规定造成少征或者漏征税款的，海关可以自缴纳税款或者货物放行之日起3年内追征税款，并从缴纳税款或者货物放行之日起按日加收少征或者漏征税款万分之五的滞纳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海关发现海关监管货物因纳税义务人违反规定造成少征或者漏征税款的，应当自纳税义务人应缴纳税款之日起3年内追征税款，并从应缴纳税款之日起按日加收少征或者漏征税款万分之五的滞纳金。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海关发现多征税款的，应当立即通知纳税义务人办理退还手续。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纳税义务人发现多缴税款的，自缴纳税款之日起1年内，可以以书面形式要求海关退还多缴的税款并加算银行同期活期存款利息；海关应当自受理退税申请之日起30日内查实并通知纳税义务人办理退还手续。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纳税义务人应当自收到通知之日起3个月内办理有关退税手续。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按照本条例第五十条、第五十二条的规定退还税款、利息涉及从国库中退库的，按照法律、行政法规有关国库管理的规定执行。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报关企业接受纳税义务人的委托，以纳税义务人的名义办理报关纳税手续，因报关企业违反规定而造成海关少征、漏征税款的，报关企业对少征或者漏征的税款、滞纳金与纳税义务人承担纳税的连带责任。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报关企业接受纳税义务人的委托，以报关企业的名义办理报关纳税手续的，报关企业与纳税义务人承担纳税的连带责任。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除不可抗力外，在保管海关监管货物期间，海关监管货物损毁或者灭失的，对海关监管货物负有保管义务的人应当承担相应的纳税责任。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欠税的纳税义务人，有合并、分立情形的，在合并、分立前，应当向海关报告，依法缴清税款。纳税义务人合并时未缴清税款的，由合并后的法人或者其他组织继续履行未履行的纳税义务；纳税义务人分立时未缴清税款的，分立后的法人或者其他组织对未履行的纳税义务承担连带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义务人在减免税货物、保税货物监管期间，有合并、分立或者其他资产重组情形的，应当向海关报告。按照规定需要缴税的，应当依法缴清税款；按照规定可以继续享受减免税、保税待遇的，应当到海关办理变更纳税义务人的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纳税义务人欠税或者在减免税货物、保税货物监管期间，有撤销、解散、破产或者其他依法终止经营情形的，应当在清算前向海关报告。海关应当依法对纳税义务人的应缴税款予以清缴。</w:t>
      </w:r>
    </w:p>
    <w:p>
      <w:pPr>
        <w:pStyle w:val="3"/>
        <w:bidi w:val="0"/>
      </w:pPr>
      <w:r>
        <w:t>第五章　进境物品进口税的征收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进境物品的关税以及进口环节海关代征税合并为进口税，由海关依法征收。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海关总署规定数额以内的个人自用进境物品，免征进口税。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超过海关总署规定数额但仍在合理数量以内的个人自用进境物品，由进境物品的纳税义务人在进境物品放行前按照规定缴纳进口税。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超过合理、自用数量的进境物品应当按照进口货物依法办理相关手续。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国务院关税税则委员会规定按货物征税的进境物品，按照本条例第二章至第四章的规定征收关税。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进境物品的纳税义务人是指，携带物品进境的入境人员、进境邮递物品的收件人以及以其他方式进口物品的收件人。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进境物品的纳税义务人可以自行办理纳税手续，也可以委托他人办理纳税手续。接受委托的人应当遵守本章对纳税义务人的各项规定。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进口税从价计征。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进口税的计算公式为：进口税税额＝完税价格</w:t>
      </w:r>
      <w:r>
        <w:rPr>
          <w:rFonts w:hAnsi="宋体" w:cs="Times New Roman"/>
          <w:sz w:val="32"/>
          <w:szCs w:val="32"/>
        </w:rPr>
        <w:t>×</w:t>
      </w:r>
      <w:r>
        <w:rPr>
          <w:rFonts w:ascii="Times New Roman" w:hAnsi="Times New Roman" w:eastAsia="仿宋_GB2312" w:cs="Times New Roman"/>
          <w:sz w:val="32"/>
          <w:szCs w:val="32"/>
        </w:rPr>
        <w:t>进口税税率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海关应当按照《进境物品进口税税率表》及海关总署制定的《中华人民共和国进境物品归类表》、《中华人民共和国进境物品完税价格表》对进境物品进行归类、确定完税价格和确定适用税率。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进境物品，适用海关填发税款缴款书之日实施的税率和完税价格。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进口税的减征、免征、补征、追征、退还以及对暂准进境物品征收进口税参照本条例对货物征收进口关税的有关规定执行。</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纳税义务人、担保人对海关确定纳税义务人、确定完税价格、商品归类、确定原产地、适用税率或者汇率、减征或者免征税款、补税、退税、征收滞纳金、确定计征方式以及确定纳税地点有异议的，应当缴纳税款，并可以依法向上一级海关申请复议。对复议决定不服的，可以依法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进口环节海关代征税的征收管理，适用关税征收管理的规定。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有违反本条例规定行为的，按照《海关法》、《中华人民共和国海关行政处罚实施条例》和其他有关法律、行政法规的规定处罚。</w:t>
      </w:r>
    </w:p>
    <w:p>
      <w:pPr>
        <w:pStyle w:val="10"/>
        <w:ind w:firstLine="640" w:firstLineChars="200"/>
        <w:rPr>
          <w:rFonts w:hint="eastAsia"/>
          <w:lang w:eastAsia="zh-CN"/>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本条例自2004年1月1日起施行。1992年3月18日国务院修订发布的《中华人民共和国进出口关税条例》同时废止。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2670207"/>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34230D"/>
    <w:rsid w:val="28F8723D"/>
    <w:rsid w:val="2B01664D"/>
    <w:rsid w:val="2D644059"/>
    <w:rsid w:val="2DBE0D65"/>
    <w:rsid w:val="2E1B43B4"/>
    <w:rsid w:val="2ED32E01"/>
    <w:rsid w:val="2FB06FA6"/>
    <w:rsid w:val="2FF20DF5"/>
    <w:rsid w:val="318138A8"/>
    <w:rsid w:val="320E2B0A"/>
    <w:rsid w:val="32252208"/>
    <w:rsid w:val="3330356C"/>
    <w:rsid w:val="3378096B"/>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2E5080E"/>
    <w:rsid w:val="4361706F"/>
    <w:rsid w:val="43CA1521"/>
    <w:rsid w:val="444B0E8A"/>
    <w:rsid w:val="47A250A3"/>
    <w:rsid w:val="494B3B16"/>
    <w:rsid w:val="49C224BB"/>
    <w:rsid w:val="4DC87E21"/>
    <w:rsid w:val="4EDF3D2B"/>
    <w:rsid w:val="4EED79F5"/>
    <w:rsid w:val="5080370D"/>
    <w:rsid w:val="523F45D1"/>
    <w:rsid w:val="52695AB4"/>
    <w:rsid w:val="529D4C7B"/>
    <w:rsid w:val="53BF5C69"/>
    <w:rsid w:val="53DA0A43"/>
    <w:rsid w:val="55B865F8"/>
    <w:rsid w:val="55D520AC"/>
    <w:rsid w:val="575D4E2E"/>
    <w:rsid w:val="58035B31"/>
    <w:rsid w:val="58F6185E"/>
    <w:rsid w:val="591257DC"/>
    <w:rsid w:val="595D2D81"/>
    <w:rsid w:val="5B254183"/>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712B5699"/>
    <w:rsid w:val="746D1278"/>
    <w:rsid w:val="762C29D0"/>
    <w:rsid w:val="76975133"/>
    <w:rsid w:val="769B60FD"/>
    <w:rsid w:val="76C10F77"/>
    <w:rsid w:val="77D8678E"/>
    <w:rsid w:val="7814798C"/>
    <w:rsid w:val="7819740D"/>
    <w:rsid w:val="78ED2B64"/>
    <w:rsid w:val="7A224A32"/>
    <w:rsid w:val="7A4B0114"/>
    <w:rsid w:val="7A6D55E9"/>
    <w:rsid w:val="7ABD49CD"/>
    <w:rsid w:val="7C0E15E2"/>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2019-06-11T05:02:09Z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