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中华人民共和国进出口商品检验法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1989</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21</w:t>
      </w:r>
      <w:r>
        <w:rPr>
          <w:rFonts w:hint="eastAsia" w:ascii="楷体_GB2312" w:hAnsi="Arial" w:eastAsia="楷体_GB2312" w:cs="Arial"/>
          <w:szCs w:val="32"/>
        </w:rPr>
        <w:t>日第七届全国人民代表大会常务委员会第六次会议通过　根据</w:t>
      </w:r>
      <w:r>
        <w:rPr>
          <w:rFonts w:hint="default" w:ascii="Times New Roman" w:hAnsi="Times New Roman" w:eastAsia="楷体_GB2312" w:cs="Times New Roman"/>
          <w:szCs w:val="32"/>
        </w:rPr>
        <w:t>2002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日第九届全国人民代表大会常务委员会第二十七次会议《关于修改〈中华人民共和国进出口商品检验法〉的决定》第一次修正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日第十二届全国人民代表大会常务委员会第三次会议《关于修改〈中华人民共和国文物保护法〉等十二部法律的决定》第二次修正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日第十三届全国人民代表大会常务委员会第二次会议《关于修改〈中华人民共和国国境卫生检疫法〉等六部法律的决定》第三次修正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日第十三届全国人民代表大会常务委员会第七次会议《关于修改〈中华人民共和国产品质量法〉等五部法律的决定》第四次修正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日第十三届全国人民代表大会常务委员会第二十八次会议《关于修改〈中华人民共和国道路交通安全法〉等八部法律的决定》第五次修正）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进口商品的检验</w:t>
      </w:r>
    </w:p>
    <w:p>
      <w:pPr>
        <w:spacing w:line="240" w:lineRule="auto"/>
        <w:ind w:firstLine="640"/>
        <w:jc w:val="both"/>
      </w:pPr>
      <w:r>
        <w:rPr>
          <w:rFonts w:ascii="楷体_GB2312" w:hAnsi="楷体_GB2312" w:eastAsia="楷体_GB2312" w:cs="楷体_GB2312"/>
          <w:sz w:val="32"/>
        </w:rPr>
        <w:t>第三章　出口商品的检验</w:t>
      </w:r>
    </w:p>
    <w:p>
      <w:pPr>
        <w:spacing w:line="240" w:lineRule="auto"/>
        <w:ind w:firstLine="640"/>
        <w:jc w:val="both"/>
      </w:pPr>
      <w:r>
        <w:rPr>
          <w:rFonts w:ascii="楷体_GB2312" w:hAnsi="楷体_GB2312" w:eastAsia="楷体_GB2312" w:cs="楷体_GB2312"/>
          <w:sz w:val="32"/>
        </w:rPr>
        <w:t>第四章　监督管理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为了加强进出口商品检验工作，规范进出口商品检验行为，维护社会公共利益和进出口贸易有关各方的合法权益，促进对外经济贸易关系的顺利发展，制定本法。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国务院设立进出口商品检验部门（以下简称国家商检部门），主管全国进出口商品检验工作。国家商检部门设在各地的进出口商品检验机构（以下简称商检机构）管理所辖地区的进出口商品检验工作。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商检机构和依法设立的检验机构（以下称其他检验机构），依法对进出口商品实施检验。</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列入目录的进出口商品，由商检机构实施检验。</w:t>
      </w:r>
    </w:p>
    <w:p>
      <w:pPr>
        <w:spacing w:line="240" w:lineRule="auto"/>
        <w:ind w:firstLine="640"/>
        <w:jc w:val="both"/>
      </w:pPr>
      <w:r>
        <w:rPr>
          <w:rFonts w:ascii="仿宋_GB2312" w:hAnsi="仿宋_GB2312" w:eastAsia="仿宋_GB2312" w:cs="仿宋_GB2312"/>
          <w:sz w:val="32"/>
        </w:rPr>
        <w:t>前款规定的进口商品未经检验的，不准销售、使用；前款规定的出口商品未经检验合格的，不准出口。</w:t>
      </w:r>
    </w:p>
    <w:p>
      <w:pPr>
        <w:spacing w:line="240" w:lineRule="auto"/>
        <w:ind w:firstLine="640"/>
        <w:jc w:val="both"/>
      </w:pPr>
      <w:r>
        <w:rPr>
          <w:rFonts w:ascii="仿宋_GB2312" w:hAnsi="仿宋_GB2312" w:eastAsia="仿宋_GB2312" w:cs="仿宋_GB2312"/>
          <w:sz w:val="32"/>
        </w:rPr>
        <w:t>本条第一款规定的进出口商品，其中符合国家规定的免予检验条件的，由收货人或者发货人申请，经国家商检部门审查批准，可以免予检验。</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必须实施的进出口商品检验，是指确定列入目录的进出口商品是否符合国家技术规范的强制性要求的合格评定活动。</w:t>
      </w:r>
    </w:p>
    <w:p>
      <w:pPr>
        <w:spacing w:line="240" w:lineRule="auto"/>
        <w:ind w:firstLine="640"/>
        <w:jc w:val="both"/>
      </w:pPr>
      <w:r>
        <w:rPr>
          <w:rFonts w:ascii="仿宋_GB2312" w:hAnsi="仿宋_GB2312" w:eastAsia="仿宋_GB2312" w:cs="仿宋_GB2312"/>
          <w:sz w:val="32"/>
        </w:rPr>
        <w:t>合格评定程序包括：抽样、检验和检查；评估、验证和合格保证；注册、认可和批准以及各项的组合。</w:t>
      </w:r>
    </w:p>
    <w:p>
      <w:pPr>
        <w:spacing w:line="240" w:lineRule="auto"/>
        <w:ind w:firstLine="640"/>
        <w:jc w:val="both"/>
      </w:pPr>
      <w:r>
        <w:rPr>
          <w:rFonts w:ascii="仿宋_GB2312" w:hAnsi="仿宋_GB2312" w:eastAsia="仿宋_GB2312" w:cs="仿宋_GB2312"/>
          <w:sz w:val="32"/>
        </w:rPr>
        <w:t>对本条第一款规定的进出口商品检验，商检机构可以采信检验机构的检验结果；国家商检部门对前述检验机构实行目录管理。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列入目录的进出口商品，按照国家技术规范的强制性要求进行检验；尚未制定国家技术规范的强制性要求的，应当依法及时制定，未制定之前，可以参照国家商检部门指定的国外有关标准进行检验。</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其他检验机构可以接受对外贸易关系人或者外国检验机构的委托，办理进出口商品检验鉴定业务。</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法律、行政法规规定由其他检验机构实施检验的进出口商品或者检验项目，依照有关法律、行政法规的规定办理。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国家商检部门和商检机构应当及时收集和向有关方面提供进出口商品检验方面的信息。</w:t>
      </w:r>
    </w:p>
    <w:p>
      <w:pPr>
        <w:spacing w:line="240" w:lineRule="auto"/>
        <w:ind w:firstLine="640"/>
        <w:jc w:val="both"/>
      </w:pPr>
      <w:r>
        <w:rPr>
          <w:rFonts w:ascii="仿宋_GB2312" w:hAnsi="仿宋_GB2312" w:eastAsia="仿宋_GB2312" w:cs="仿宋_GB2312"/>
          <w:sz w:val="32"/>
        </w:rPr>
        <w:t>国家商检部门和商检机构的工作人员在履行进出口商品检验的职责中，对所知悉的商业秘密负有保密义务。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进口商品的检验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本法规定必须经商检机构检验的进口商品的收货人或者其代理人，应当向报关地的商检机构报检。</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本法规定必须经商检机构检验的进口商品以外的进口商品的收货人，发现进口商品质量不合格或者残损短缺，需要由商检机构出证索赔的，应当向商检机构申请检验出证。</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对重要的进口商品和大型的成套设备，收货人应当依据对外贸易合同约定在出口国装运前进行预检验、监造或者监装，主管部门应当加强监督；商检机构根据需要可以派出检验人员参加。</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出口商品的检验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本法规定必须经商检机构检验的出口商品的发货人或者其代理人，应当在商检机构规定的地点和期限内，向商检机构报检。商检机构应当在国家商检部门统一规定的期限内检验完毕，并出具检验证单。</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经商检机构检验合格发给检验证单的出口商品，应当在商检机构规定的期限内报关出口；超过期限的，应当重新报检。</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为出口危险货物生产包装容器的企业，必须申请商检机构进行包装容器的性能鉴定。生产出口危险货物的企业，必须申请商检机构进行包装容器的使用鉴定。使用未经鉴定合格的包装容器的危险货物，不准出口。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对装运出口易腐烂变质食品的船舱和集装箱，承运人或者装箱单位必须在装货前申请检验。未经检验合格的，不准装运。</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商检机构对本法规定必须经商检机构检验的进出口商品以外的进出口商品，根据国家规定实施抽查检验。</w:t>
      </w:r>
    </w:p>
    <w:p>
      <w:pPr>
        <w:spacing w:line="240" w:lineRule="auto"/>
        <w:ind w:firstLine="640"/>
        <w:jc w:val="both"/>
      </w:pPr>
      <w:r>
        <w:rPr>
          <w:rFonts w:ascii="仿宋_GB2312" w:hAnsi="仿宋_GB2312" w:eastAsia="仿宋_GB2312" w:cs="仿宋_GB2312"/>
          <w:sz w:val="32"/>
        </w:rPr>
        <w:t>国家商检部门可以公布抽查检验结果或者向有关部门通报抽查检验情况。</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商检机构根据便利对外贸易的需要，可以按照国家规定对列入目录的出口商品进行出厂前的质量监督管理和检验。</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为进出口货物的收发货人办理报检手续的代理人办理报检手续时应当向商检机构提交授权委托书。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国家商检部门和商检机构依法对其他检验机构的进出口商品检验鉴定业务活动进行监督，可以对其检验的商品抽查检验。</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国务院认证认可监督管理部门根据国家统一的认证制度，对有关的进出口商品实施认证管理。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认证机构可以根据国务院认证认可监督管理部门同外国有关机构签订的协议或者接受外国有关机构的委托进行进出口商品质量认证工作，准许在认证合格的进出口商品上使用质量认证标志。</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商检机构依照本法对实施许可制度的进出口商品实行验证管理，查验单证，核对证货是否相符。</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商检机构根据需要，对检验合格的进出口商品，可以加施商检标志或者封识。</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进出口商品的报检人对商检机构作出的检验结果有异议的，可以向原商检机构或者其上级商检机构以至国家商检部门申请复验，由受理复验的商检机构或者国家商检部门及时作出复验结论。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当事人对商检机构、国家商检部门作出的复验结论不服或者对商检机构作出的处罚决定不服的，可以依法申请行政复议，也可以依法向人民法院提起诉讼。</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国家商检部门和商检机构履行职责，必须遵守法律，维护国家利益，依照法定职权和法定程序严格执法，接受监督。</w:t>
      </w:r>
    </w:p>
    <w:p>
      <w:pPr>
        <w:spacing w:line="240" w:lineRule="auto"/>
        <w:ind w:firstLine="640"/>
        <w:jc w:val="both"/>
      </w:pPr>
      <w:r>
        <w:rPr>
          <w:rFonts w:ascii="仿宋_GB2312" w:hAnsi="仿宋_GB2312" w:eastAsia="仿宋_GB2312" w:cs="仿宋_GB2312"/>
          <w:sz w:val="32"/>
        </w:rPr>
        <w:t>国家商检部门和商检机构应当根据依法履行职责的需要，加强队伍建设，使商检工作人员具有良好的政治、业务素质。商检工作人员应当定期接受业务培训和考核，经考核合格，方可上岗执行职务。</w:t>
      </w:r>
    </w:p>
    <w:p>
      <w:pPr>
        <w:spacing w:line="240" w:lineRule="auto"/>
        <w:ind w:firstLine="640"/>
        <w:jc w:val="both"/>
      </w:pPr>
      <w:r>
        <w:rPr>
          <w:rFonts w:ascii="仿宋_GB2312" w:hAnsi="仿宋_GB2312" w:eastAsia="仿宋_GB2312" w:cs="仿宋_GB2312"/>
          <w:sz w:val="32"/>
        </w:rPr>
        <w:t>商检工作人员必须忠于职守，文明服务，遵守职业道德，不得滥用职权，谋取私利。</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国家商检部门和商检机构应当建立健全内部监督制度，对其工作人员的执法活动进行监督检查。</w:t>
      </w:r>
    </w:p>
    <w:p>
      <w:pPr>
        <w:spacing w:line="240" w:lineRule="auto"/>
        <w:ind w:firstLine="640"/>
        <w:jc w:val="both"/>
      </w:pPr>
      <w:r>
        <w:rPr>
          <w:rFonts w:ascii="仿宋_GB2312" w:hAnsi="仿宋_GB2312" w:eastAsia="仿宋_GB2312" w:cs="仿宋_GB2312"/>
          <w:sz w:val="32"/>
        </w:rPr>
        <w:t>商检机构内部负责受理报检、检验、出证放行等主要岗位的职责权限应当明确，并相互分离、相互制约。</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任何单位和个人均有权对国家商检部门、商检机构及其工作人员的违法、违纪行为进行控告、检举。收到控告、检举的机关应当依法按照职责分工及时查处，并为控告人、检举人保密。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进口或者出口属于掺杂掺假、以假充真、以次充好的商品或者以不合格进出口商品冒充合格进出口商品的，由商检机构责令停止进口或者出口，没收违法所得，并处货值金额百分之五十以上三倍以下的罚款；构成犯罪的，依法追究刑事责任。</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伪造、变造、买卖或者盗窃商检单证、印章、标志、封识、质量认证标志的，依法追究刑事责任；尚不够刑事处罚的，由商检机构、认证认可监督管理部门依据各自职责责令改正，没收违法所得，并处货值金额等值以下的罚款。</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国家商检部门、商检机构的工作人员违反本法规定，泄露所知悉的商业秘密的，依法给予行政处分，有违法所得的，没收违法所得；构成犯罪的，依法追究刑事责任。</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国家商检部门、商检机构的工作人员滥用职权，故意刁难的，徇私舞弊，伪造检验结果的，或者玩忽职守，延误检验出证的，依法给予行政处分；构成犯罪的，依法追究刑事责任。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商检机构和其他检验机构依照本法的规定实施检验和办理检验鉴定业务，依照国家有关规定收取费用。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国务院根据本法制定实施条例。</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本法自</w:t>
      </w:r>
      <w:r>
        <w:rPr>
          <w:rFonts w:hint="default" w:ascii="Times New Roman" w:hAnsi="Times New Roman" w:eastAsia="仿宋_GB2312" w:cs="Times New Roman"/>
          <w:sz w:val="32"/>
        </w:rPr>
        <w:t>1989</w:t>
      </w:r>
      <w:r>
        <w:rPr>
          <w:rFonts w:ascii="仿宋_GB2312" w:hAnsi="仿宋_GB2312" w:eastAsia="仿宋_GB2312" w:cs="仿宋_GB2312"/>
          <w:sz w:val="32"/>
        </w:rPr>
        <w:t>年</w:t>
      </w:r>
      <w:r>
        <w:rPr>
          <w:rFonts w:hint="default" w:ascii="Times New Roman" w:hAnsi="Times New Roman" w:eastAsia="仿宋_GB2312" w:cs="Times New Roman"/>
          <w:sz w:val="32"/>
        </w:rPr>
        <w:t>8</w:t>
      </w:r>
      <w:bookmarkStart w:id="3" w:name="_GoBack"/>
      <w:bookmarkEnd w:id="3"/>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5A04048"/>
    <w:rsid w:val="754F2F0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2021-07-16T06:39:00Z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