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企业财务会计报告条例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(2000年6月21日中华人民共和国国务院令第287号公布　自2001年1月1日起施行)</w:t>
      </w:r>
    </w:p>
    <w:p>
      <w:pPr>
        <w:pStyle w:val="2"/>
        <w:rPr>
          <w:rFonts w:ascii="方正黑体_GBK"/>
        </w:rPr>
      </w:pPr>
      <w:r>
        <w:rPr>
          <w:rFonts w:hint="eastAsia" w:ascii="方正黑体_GBK" w:hAnsi="Times New Roman" w:cs="Times New Roman"/>
        </w:rPr>
        <w:t>第一章　总</w:t>
      </w:r>
      <w:bookmarkStart w:id="0" w:name="_GoBack"/>
      <w:bookmarkEnd w:id="0"/>
      <w:r>
        <w:rPr>
          <w:rFonts w:hint="eastAsia" w:ascii="方正黑体_GBK" w:hAnsi="Times New Roman" w:cs="Times New Roman"/>
        </w:rPr>
        <w:t>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为了规范企业财务会计报告，保证财务会计报告的真实、完整，根据《中华人民共和国会计法》，制定本条例。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企业(包括公司，下同)编制和对外提供财务会计报告，应当遵守本条例。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本条例所称财务会计报告，是指企业对外提供的反映企业某一特定日期财务状况和某一会计期间经营成果、现金流量的文件。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企业不得编制和对外提供虚假的或者隐瞒重要事实的财务会计报告。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企业负责人对本企业财务会计报告的真实性、完整性负责。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任何组织或者个人不得授意、指使、强令企业编制和对外提供虚假的或者隐瞒重要事实的财务会计报告。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注册会计师、会计师事务所审计企业财务会计报告，应当依照有关法律、行政法规以及注册会计师执业规则的规定进行，并对所出具的审计报告负责。</w:t>
      </w:r>
    </w:p>
    <w:p>
      <w:pPr>
        <w:pStyle w:val="2"/>
        <w:rPr>
          <w:rFonts w:ascii="方正黑体_GBK"/>
        </w:rPr>
      </w:pPr>
      <w:r>
        <w:rPr>
          <w:rFonts w:hint="eastAsia" w:ascii="方正黑体_GBK" w:hAnsi="Times New Roman" w:cs="Times New Roman"/>
        </w:rPr>
        <w:t>第二章　财务会计报告的构成</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财务会计报告分为年度、半年度、季度和月度财务会计报告。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年度、半年度财务会计报告应当包括：</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(一)会计报表；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(二)会计报表附注；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(三)财务情况说明书。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会计报表应当包括资产负债表、利润表、现金流量表及相关附表。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季度、月度财务会计报告通常仅指会计报表，会计报表至少应当包括资产负债表和利润表。国家统一的会计制度规定季度、月度财务会计报告需要编制会计报表附注的，从其规定。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资产负债表是反映企业在某一特定日期财务状况的报表。资产负债表应当按照资产、负债和所有者权益(或者股东权益，下同)分类分项列示。其中，资产、负债和所有者权益的定义及列示应当遵循下列规定：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资产，是指过去的交易、事项形成并由企业拥有或者控制的资源，该资源预期会给企业带来经济利益。在资产负债表上，资产应当按照其流动性分类分项列示，包括流动资产、长期投资、固定资产、无形资产及其他资产。银行、保险公司和非银行金融机构的各项资产有特殊性的，按照其性质分类分项列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负债，是指过去的交易、事项形成的现时义务，履行该义务预期会导致经济利益流出企业。在资产负债表上，负债应当按照其流动性分类分项列示，包括流动负债、长期负债等。银行、保险公司和非银行金融机构的各项负债有特殊性的，按照其性质分类分项列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(三)所有者权益，是指所有者在企业资产中享有的经济利益，其金额为资产减去负债后的余额。在资产负债表上，所有者权益应当按照实收资本(或者股本)、资本公积、盈余公积、未分配利润等项目分项列示。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利润表是反映企业在一定会计期间经营成果的报表。利润表应当按照各项收入、费用以及构成利润的各个项目分类分项列示。其中，收入、费用和利润的定义及列示应当遵循下列规定：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(一)收入，是指企业在销售商品、提供劳务及让渡资产使用权等日常活动中所形成的经济利益的总流入。收入不包括为第三方或者客户代收的款项。在利润表上，收入应当按照其重要性分项列示。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(二)费用，是指企业为销售商品、提供劳务等日常活动所发生的经济利益的流出。在利润表上，费用应当按照其性质分项列示。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(三)利润，是指企业在一定会计期间的经营成果。在利润表上，利润应当按照营业利润、利润总额和净利润等利润的构成分类分项列示。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现金流量表是反映企业一定会计期间现金和现金等价物(以下简称现金)流入和流出的报表。现金流量表应当按照经营活动、投资活动和筹资活动的现金流量分类分项列示。其中，经营活动、投资活动和筹资活动的定义及列示应当遵循下列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经营活动，是指企业投资活动和筹资活动以外的所有交易和事项。在现金流量表上，经营活动的现金流量应当按照其经营活动的现金流入和流出的性质分项列示；银行、保险公司和非银行金融机构的经营活动按照其经营活动特点分项列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(二)投资活动，是指企业长期资产的购建和不包括在现金等价物范围内的投资及其处置活动。在现金流量表上，投资活动的现金流量应当按照其投资活动的现金流入和流出的性质分项列示。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(三)筹资活动，是指导致企业资本及债务规模和构成发生变化的活动。在现金流量表上，筹资活动的现金流量应当按照其筹资活动的现金流入和流出的性质分项列示。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相关附表是反映企业财务状况、经营成果和现金流量的补充报表，主要包括利润分配表以及国家统一的会计制度规定的其他附表。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利润分配表是反映企业一定会计期间对实现净利润以及以前年度未分配利润的分配或者亏损弥补的报表。利润分配表应当按照利润分配各个项目分类分项列示。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年度、半年度会计报表至少应当反映两个年度或者相关两个期间的比较数据。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会计报表附注是为便于会计报表使用者理解会计报表的内容而对会计报表的编制基础、编制依据、编制原则和方法及主要项目等所作的解释。会计报表附注至少应当包括下列内容：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(一)不符合基本会计假设的说明；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(二)重要会计政策和会计估计及其变更情况、变更原因及其对财务状况和经营成果的影响；</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(三)或有事项和资产负债表日后事项的说明；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(四)关联方关系及其交易的说明；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(五)重要资产转让及其出售情况；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(六)企业合并、分立；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(七)重大投资、融资活动；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(八)会计报表中重要项目的明细资料；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(九)有助于理解和分析会计报表需要说明的其他事项。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财务情况说明书至少应当对下列情况作出说明：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(一)企业生产经营的基本情况；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(二)利润实现和分配情况；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(三)资金增减和周转情况；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(四)对企业财务状况、经营成果和现金流量有重大影响的其他事项。</w:t>
      </w:r>
    </w:p>
    <w:p>
      <w:pPr>
        <w:pStyle w:val="2"/>
        <w:rPr>
          <w:rFonts w:ascii="方正黑体_GBK"/>
        </w:rPr>
      </w:pPr>
      <w:r>
        <w:rPr>
          <w:rFonts w:hint="eastAsia" w:ascii="方正黑体_GBK" w:hAnsi="Times New Roman" w:cs="Times New Roman"/>
        </w:rPr>
        <w:t>第三章　财务会计报告的编制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企业应当于年度终了编报年度财务会计报告。国家统一的会计制度规定企业应当编报半年度、季度和月度财务会计报告的，从其规定。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企业编制财务会计报告，应当根据真实的交易、事项以及完整、准确的账簿记录等资料，并按照国家统一的会计制度规定的编制基础、编制依据、编制原则和方法。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企业不得违反本条例和国家统一的会计制度规定，随意改变财务会计报告的编制基础、编制依据、编制原则和方法。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任何组织或者个人不得授意、指使、强令企业违反本条例和国家统一的会计制度规定，改变财务会计报告的编制基础、编制依据、编制原则和方法。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企业应当依照本条例和国家统一的会计制度规定，对会计报表中各项会计要素进行合理的确认和计量，不得随意改变会计要素的确认和计量标准。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企业应当依照有关法律、行政法规和本条例规定的结账日进行结账，不得提前或者延迟。年度结账日为公历年度每年的12月31日；半年度、季度、月度结账日分别为公历年度每半年、每季、每月的最后1天。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企业在编制年度财务会计报告前，应当按照下列规定，全面清查资产、核实债务：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(一)结算款项，包括应收款项、应付款项、应交税金等是否存在，与债务、债权单位的相应债务、债权金额是否一致；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(二)原材料、在产品、自制半成品、库存商品等各项存货的实存数量与账面数量是否一致，是否有报废损失和积压物资等；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(三)各项投资是否存在，投资收益是否按照国家统一的会计制度规定进行确认和计量；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(四)房屋建筑物、机器设备、运输工具等各项固定资产的实存数量与财面数量是否一致；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(五)在建工程的实际发生额与账面记录是否一致；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(六)需要清查、核实的其他内容。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通过前款规定的清查、核实，查明财产物资的实存数量与账面数量是否一致、各项结算款项的拖欠情况及其原因、材料物资的实际储备情况、各项投资是否达到预期目的、固定资产的使用情况及其完好程度等。企业清查、核实后，应当将清查、核实的结果及其处理办法向企业的董事会或者相应机构报告，并根据国家统一的会计制度的规定进行相应的会计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企业应当在年度中间根据具体情况，对各项财产物资和结算款项进行重点抽查、轮流清查或者定期清查。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企业在编制财务会计报告前，除应当全面清查资产、核实债务外，还应当完成下列工作：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(一)核对各会计账簿记录与会计凭证的内容、金额等是否一致，记账方向是否相符；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(二)依照本条例规定的结账日进行结账，结出有关会计账簿的余额和发生额，并核对各会计账簿之间的余额；</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(三)检查相关的会计核算是否按照国家统一的会计制度的规定进行；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(四)对于国家统一的会计制度没有规定统一核算方法的交易、事项，检查其是否按照会计核算的一般原则进行确认和计量以及相关账务处理是否合理；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(五)检查是否存在因会计差错、会计政策变更等原因需要调整前期或者本期相关项目。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在前款规定工作中发现问题的，应当按照国家统一的会计制度的规定进行处理。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企业编制年度和半年度财务会计报告时，对经查实后的资产、负债有变动的，应当按照资产、负债的确认和计量标准进行确认和计量，并按照国家统一的会计制度的规定进行相应的会计处理。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企业应当按照国家统一的会计制度规定的会计报表格式和内容，根据登记完整、核对无误的会计账簿记录和其他有关资料编制会计报表，做到内容完整、数字真实、计算准确，不得漏报或者任意取舍。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会计报表之间、会计报表各项目之间，凡有对应关系的数字，应当相互一致；会计报表中本期与上期的有关数字应当相互衔接。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会计报表附注和财务情况说明书应当按照本条例和国家统一的会计制度的规定，对会计报表中需要说明的事项作出真实、完整、清楚的说明。</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企业发生合并、分立情形的，应当按照国家统一的会计制度的规定编制相应的财务会计报告。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企业终止营业的，应当在终止营业时按照编制年度财务会计报告的要求全面清查资产、核实债务、进行结账，并编制财务会计报告；在清算期间，应当按照国家统一的会计制度的规定编制清算期间的财务会计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按照国家统一的会计制度的规定，需要编制合并会计报表的企业集团，母公司除编制其个别会计报表外，还应当编制企业集团的合并会计报表。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企业集团合并会计报表，是指反映企业集团整体财务状况、经营成果和现金流量的会计报表。</w:t>
      </w:r>
    </w:p>
    <w:p>
      <w:pPr>
        <w:pStyle w:val="2"/>
        <w:rPr>
          <w:rFonts w:ascii="方正黑体_GBK"/>
        </w:rPr>
      </w:pPr>
      <w:r>
        <w:rPr>
          <w:rFonts w:hint="eastAsia" w:ascii="方正黑体_GBK" w:hAnsi="Times New Roman" w:cs="Times New Roman"/>
        </w:rPr>
        <w:t>第四章　财务会计报告的对外提供</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对外提供的财务会计报告反映的会计信息应当真实、完整。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企业应当依照法律、行政法规和国家统一的会计制度有关财务会计报告提供期限的规定，及时对外提供财务会计报告。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企业对外提供的财务会计报告应当依次编定页数，加具封面，装订成册，加盖公章。封面上应当注明：企业名称、企业统一代码、组织形式、地址、报表所属年度或者月份、报出日期，并由企业负责人和主管会计工作的负责人、会计机构负责人(会计主管人员)签名并盖章；设置总会计师的企业，还应当由总会计师签名并盖章。</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企业应当依照企业章程的规定，向投资者提供财务会计报告。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国务院派出监事会的国有重点大型企业、国有重点金融机构和省、自治区、直辖市人民政府派出监事会的国有企业，应当依法定期向监事会提供财务会计报告。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有关部门或者机构依照法律、行政法规或者国务院的规定，要求企业提供部分或者全部财务会计报告及其有关数据的，应当向企业出示依据，并不得要求企业改变财务会计报告有关数据的会计口径。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非依照法律、行政法规或者国务院的规定，任何组织或者个人不得要求企业提供部分或者全部财务会计报告及其有关数据。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违反本条例规定，要求企业提供部分或者全部财务会计报告及其有关数据的，企业有权拒绝。</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国有企业、国有控股的或者占主导地位的企业，应当至少每年一次向本企业的职工代表大会公布财务会计报告，并重点说明下列事项：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反映与职工利益密切相关的信息，包括：管理费用的构成情况，企业管理人员工资、福利和职工工资、福利费用的发放、使用和结余情况，公益金的提取及使用情况，利润分配的情况以及其他与职工利益相关的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(二)内部审计发现的问题及纠正情况；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(三)注册会计师审计的情况；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(四)国家审计机关发现的问题及纠正情况；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(五)重大的投资、融资和资产处置决策及其原因的说明；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(六)需要说明的其他重要事项。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企业依照本条例规定向有关各方提供的财务会计报告，其编制基础、编制依据、编制原则和方法应当一致，不得提供编制基础、编制依据、编制原则和方法不同的财务会计报告。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财务会计报告须经注册会计师审计的，企业应当将注册会计师及其会计师事务所出具的审计报告随同财务会计报告一并对外提供。</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接受企业财务会计报告的组织或者个人，在企业财务会计报告未正式对外披露前，应当对其内容保密。</w:t>
      </w:r>
    </w:p>
    <w:p>
      <w:pPr>
        <w:pStyle w:val="2"/>
        <w:rPr>
          <w:rFonts w:ascii="方正黑体_GBK"/>
        </w:rPr>
      </w:pPr>
      <w:r>
        <w:rPr>
          <w:rFonts w:hint="eastAsia" w:ascii="方正黑体_GBK" w:hAnsi="Times New Roman" w:cs="Times New Roman"/>
        </w:rPr>
        <w:t>第五章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违反本条例规定，有下列行为之一的，由县级以上人民政府财政部门责令限期改正，对企业可以处3000元以上5万元以下的罚款；对直接负责的主管人员和其他直接责任人员，可以处2000元以上2万元以下的罚款；属于国家工作人员的，并依法给予行政处分或者纪律处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(一)随意改变会计要素的确认和计量标准的；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(二)随意改变财务会计报告的编制基础、编制依据、编制原则和方法的；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(三)提前或者延迟结账日结账的；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(四)在编制年度财务会计报告前，未按照本条例规定全面清查资产、核实债务的；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(五)拒绝财政部门和其他有关部门对财务会计报告依法进行的监督检查，或者不如实提供有关情况的。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会计人员有前款所列行为之一，情节严重的，由县级以上人民政府财政部门吊销会计从业资格证书。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企业编制、对外提供虚假的或者隐瞒重要事实的财务会计报告，构成犯罪的，依法追究刑事责任。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前款行为，尚不构成犯罪的，由县级以上人民政府财政部门予以通报，对企业可以处5000元以上10万元以下的罚款；对直接负责的主管人员和其他直接责任人员，可以处3000元以上5万元以下的罚款；属于国家工作人员的，并依法给予撤职直至开除的行政处分或者纪律处分；对其中的会计人员，情节严重的，并由县级以上人民政府财政部门吊销会计从业资格证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授意、指使、强令会计机构、会计人员及其他人员编制、对外提供虚假的或者隐瞒重要事实的财务会计报告，或者隐匿、故意销毁依法应当保存的财务会计报告，构成犯罪的，依法追究刑事责任；尚不构成犯罪的，可以处5000元以上5万元以下的罚款；属于国家工作人员的，并依法给予降级、撤职、开除的行政处分或者纪律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违反本条例的规定，要求企业向其提供部分或者全部财务会计报告及其有关数据的，由县级以上人民政府责令改正。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违反本条例规定，同时违反其他法律、行政法规规定的，由有关部门在各自的职权范围内依法给予处罚。</w:t>
      </w:r>
    </w:p>
    <w:p>
      <w:pPr>
        <w:pStyle w:val="2"/>
        <w:rPr>
          <w:rFonts w:ascii="方正黑体_GBK"/>
        </w:rPr>
      </w:pPr>
      <w:r>
        <w:rPr>
          <w:rFonts w:hint="eastAsia" w:ascii="方正黑体_GBK" w:hAnsi="Times New Roman" w:cs="Times New Roman"/>
        </w:rPr>
        <w:t>第六章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国务院财政部门可以根据本条例的规定，制定财务会计报告的具体编报办法。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不对外筹集资金、经营规模较小的企业编制和对外提供财务会计报告的办法，由国务院财政部门根据本条例的原则另行规定。</w:t>
      </w:r>
    </w:p>
    <w:p>
      <w:pPr>
        <w:ind w:firstLine="640" w:firstLineChars="200"/>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本条例自2001年1月1日起施行。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00F7F0C"/>
    <w:rsid w:val="00763CC8"/>
    <w:rsid w:val="00C142F1"/>
    <w:rsid w:val="00EB6D24"/>
    <w:rsid w:val="14390B0B"/>
    <w:rsid w:val="22071D69"/>
    <w:rsid w:val="45657323"/>
    <w:rsid w:val="47E36AAA"/>
    <w:rsid w:val="700F7F0C"/>
    <w:rsid w:val="75403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919</Words>
  <Characters>5240</Characters>
  <Lines>43</Lines>
  <Paragraphs>12</Paragraphs>
  <TotalTime>0</TotalTime>
  <ScaleCrop>false</ScaleCrop>
  <LinksUpToDate>false</LinksUpToDate>
  <CharactersWithSpaces>6147</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2019-05-22T14:01:00Z</dcterms:created>
  <dc:creator>Administrator</dc:creator>
  <cp:lastModifiedBy>Administrator</cp:lastModifiedBy>
  <dcterms:modified xsi:type="dcterms:W3CDTF">2019-07-05T07:35:20Z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