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全民健身条例</w:t>
      </w:r>
    </w:p>
    <w:p>
      <w:pPr>
        <w:pStyle w:val="10"/>
        <w:jc w:val="center"/>
        <w:rPr>
          <w:rFonts w:ascii="Times New Roman" w:hAnsi="Times New Roman" w:cs="Times New Roman"/>
          <w:sz w:val="44"/>
          <w:szCs w:val="44"/>
        </w:rPr>
      </w:pPr>
    </w:p>
    <w:p>
      <w:pPr>
        <w:pStyle w:val="10"/>
        <w:ind w:firstLine="616" w:firstLineChars="200"/>
        <w:rPr>
          <w:rFonts w:ascii="Times New Roman" w:hAnsi="Times New Roman" w:eastAsia="楷体_GB2312" w:cs="Times New Roman"/>
          <w:sz w:val="32"/>
          <w:szCs w:val="32"/>
        </w:rPr>
      </w:pPr>
      <w:bookmarkStart w:id="0" w:name="_GoBack"/>
      <w:r>
        <w:rPr>
          <w:rFonts w:ascii="Times New Roman" w:hAnsi="Times New Roman" w:eastAsia="楷体_GB2312" w:cs="Times New Roman"/>
          <w:spacing w:val="-6"/>
          <w:sz w:val="32"/>
          <w:szCs w:val="32"/>
        </w:rPr>
        <w:t>(2009年8月30日中华人民共和国国务院令第560号公布　</w:t>
      </w:r>
      <w:bookmarkEnd w:id="0"/>
      <w:r>
        <w:rPr>
          <w:rFonts w:ascii="Times New Roman" w:hAnsi="Times New Roman" w:eastAsia="楷体_GB2312" w:cs="Times New Roman"/>
          <w:sz w:val="32"/>
          <w:szCs w:val="32"/>
        </w:rPr>
        <w:t>根据2013年7月18日《国务院关于废止和修改部分行政法规的决定》第一次修订　根据2016年2月6日《国务院关于修改部分行政法规的决定》第二次修订)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为了促进全民健身活动的开展，保障公民在全民健身活动中的合法权益，提高公民身体素质，制定本条例。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县级以上地方人民政府应当将全民健身事业纳入本级国民经济和社会发展规划，有计划地建设公共体育设施，加大对农村地区和城市社区等基层公共体育设施建设的投入，促进全民健身事业均衡协调发展。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国家支持、鼓励、推动与人民群众生活水平相适应的体育消费以及体育产业的发展。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国家推动基层文化体育组织建设，鼓励体育类社会团体、体育类民办非企业单位等群众性体育组织开展全民健身活动。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公民有依法参加全民健身活动的权利。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地方各级人民政府应当依法保障公民参加全民健身活动的权利。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国务院体育主管部门负责全国的全民健身工作，国务院其他有关部门在各自职责范围内负责有关的全民健身工作。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县级以上地方人民政府主管体育工作的部门(以下简称体育主管部门)负责本行政区域内的全民健身工作，县级以上地方人民政府其他有关部门在各自职责范围内负责有关的全民健身工作。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国家鼓励对全民健身事业提供捐赠和赞助。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自然人、法人或者其他组织对全民健身事业提供捐赠的，依法享受税收优惠。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对在发展全民健身事业中做出突出贡献的组织和个人，按照国家有关规定给予表彰、奖励。</w:t>
      </w:r>
    </w:p>
    <w:p>
      <w:pPr>
        <w:pStyle w:val="3"/>
        <w:bidi w:val="0"/>
      </w:pPr>
      <w:r>
        <w:t>第二章　全民健身计划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国务院制定全民健身计划，明确全民健身工作的目标、任务、措施、保障等内容。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县级以上地方人民政府根据本地区的实际情况制定本行政区域的全民健身实施计划。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制定全民健身计划和全民健身实施计划，应当充分考虑学生、老年人、残疾人和农村居民的特殊需求。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国家定期开展公民体质监测和全民健身活动状况调查。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公民体质监测由国务院体育主管部门会同有关部门组织实施；其中，对学生的体质监测由国务院教育主管部门组织实施。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全民健身活动状况调查由国务院体育主管部门组织实施。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国务院根据公民体质监测结果和全民健身活动状况调查结果，修订全民健身计划。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县级以上地方人民政府根据公民体质监测结果和全民健身活动状况调查结果，修订全民健身实施计划。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全民健身计划由县级以上人民政府体育主管部门会同有关部门组织实施。县级以上地方人民政府应当加强组织和协调，对本行政区域全民健身计划实施情况负责。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县级以上人民政府体育主管部门应当在本级人民政府任期届满时会同有关部门对全民健身计划实施情况进行评估，并将评估结果向本级人民政府报告。</w:t>
      </w:r>
    </w:p>
    <w:p>
      <w:pPr>
        <w:pStyle w:val="3"/>
        <w:bidi w:val="0"/>
      </w:pPr>
      <w:r>
        <w:t>第三章　全民健身活动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每年8月8日为全民健身日。县级以上人民政府及其有关部门应当在全民健身日加强全民健身宣传。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国家机关、企业事业单位和其他组织应当在全民健身日结合自身条件组织本单位人员开展全民健身活动。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县级以上人民政府体育主管部门应当在全民健身日组织开展免费健身指导服务。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公共体育设施应当在全民健身日向公众免费开放；国家鼓励其他各类体育设施在全民健身日向公众免费开放。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国务院体育主管部门应当定期举办全国性群众体育比赛活动；国务院其他有关部门、全国性社会团体等，可以根据需要举办相应的全国性群众体育比赛活动。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地方人民政府应当定期举办本行政区域的群众体育比赛活动。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县级人民政府体育主管部门应当在传统节日和农闲季节组织开展与农村生产劳动和文化生活相适应的全民健身活动。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国家机关、企业事业单位和其他组织应当组织本单位人员开展工间(前)操和业余健身活动；有条件的，可以举办运动会，开展体育锻炼测验、体质测定等活动。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工会、共青团、妇联、残联等社会团体应当结合自身特点，组织成员开展全民健身活动。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单项体育协会应当将普及推广体育项目和组织开展全民健身活动列入工作计划，并对全民健身活动给予指导和支持。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基层文化体育组织、居民委员会和村民委员会应当组织居民开展全民健身活动，协助政府做好相关工作。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鼓励全民健身活动站点、体育俱乐部等群众性体育组织开展全民健身活动，宣传科学健身知识；县级以上人民政府体育主管部门和其他有关部门应当给予支持。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对于依法举办的群众体育比赛等全民健身活动，任何组织或者个人不得非法设置审批和收取审批费用。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广播电台、电视台、报刊和互联网站等应当加强对全民健身活动的宣传报道，普及科学健身知识，增强公民健身意识。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学校应当按照《中华人民共和国体育法》和《学校体育工作条例》的规定，根据学生的年龄、性别和体质状况，组织实施体育课教学，开展广播体操、眼保健操等体育活动，指导学生的体育锻炼，提高学生的身体素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学校应当保证学生在校期间每天参加1小时的体育活动。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学校每学年至少举办一次全校性的运动会；有条件的，还可以有计划地组织学生参加远足、野营、体育夏(冬)令营等活动。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基层文化体育组织、学校、家庭应当加强合作，支持和引导学生参加校外体育活动。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青少年活动中心、少年宫、妇女儿童中心等应当为学生开展体育活动提供便利。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组织大型全民健身活动，应当按照国家有关大型群众性活动安全管理的规定，做好安全工作。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任何组织或者个人不得利用健身活动从事宣扬封建迷信、违背社会公德、扰乱公共秩序、损害公民身心健康的行为。</w:t>
      </w:r>
    </w:p>
    <w:p>
      <w:pPr>
        <w:pStyle w:val="3"/>
        <w:bidi w:val="0"/>
      </w:pPr>
      <w:r>
        <w:t>第四章　全民健身保障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县级以上人民政府应当将全民健身工作所需经费列入本级财政预算，并随着国民经济的发展逐步增加对全民健身的投入。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按照国家有关彩票公益金的分配政策由体育主管部门分配使用的彩票公益金，应当根据国家有关规定用于全民健身事业。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公共体育设施的规划、建设、使用、管理、保护和公共体育设施管理单位提供服务，应当遵守《公共文化体育设施条例》的规定。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公共体育设施的规划、建设应当与当地经济发展水平相适应，方便群众就近参加健身活动；农村地区公共体育设施的规划、建设还应当考虑农村生产劳动和文化生活习惯。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学校应当在课余时间和节假日向学生开放体育设施。公办学校应当积极创造条件向公众开放体育设施；国家鼓励民办学校向公众开放体育设施。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县级人民政府对向公众开放体育设施的学校给予支持，为向公众开放体育设施的学校办理有关责任保险。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学校可以根据维持设施运营的需要向使用体育设施的公众收取必要的费用。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公园、绿地等公共场所的管理单位，应当根据自身条件安排全民健身活动场地。县级以上地方人民政府体育主管部门根据实际情况免费提供健身器材。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居民住宅区的设计应当安排健身活动场地。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公园、绿地、广场等公共场所和居民住宅区的管理单位，应当对该公共场所和居民住宅区配置的全民健身器材明确管理和维护责任人。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国家加强社会体育指导人员队伍建设，对全民健身活动进行科学指导。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不以收取报酬为目的向公众提供传授健身技能、组织健身活动、宣传科学健身知识等服务的社会体育指导人员实行技术等级制度。县级以上地方人民政府体育主管部门应当免费为其提供相关知识和技能培训，并建立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国家对以健身指导为职业的社会体育指导人员实行职业资格证书制度。以对高危险性体育项目进行健身指导为职业的社会体育指导人员，应当依照国家有关规定取得职业资格证书。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企业、个体工商户经营高危险性体育项目的，应当符合下列条件，并向县级以上地方人民政府体育主管部门提出申请：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(一)相关体育设施符合国家标准；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(二)具有达到规定数量的取得国家职业资格证书的社会体育指导人员和救助人员；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(三)具有相应的安全保障制度和措施。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县级以上地方人民政府体育主管部门应当自收到申请之日起30日内进行实地核查，做出批准或者不予批准的决定。批准的，应当发给许可证；不予批准的，应当书面通知申请人并说明理由。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国务院体育主管部门应当会同有关部门制定、调整高危险性体育项目目录，经国务院批准后予以公布。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国家鼓励全民健身活动组织者和健身场所管理者依法投保有关责任保险。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国家鼓励参加全民健身活动的公民依法投保意外伤害保险。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县级以上地方人民政府体育主管部门对高危险性体育项目经营活动，应当依法履行监督检查职责。</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学校违反本条例规定的，由县级以上人民政府教育主管部门按照管理权限责令改正；拒不改正的，对负有责任的主管人员和其他直接责任人员依法给予处分。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未经批准，擅自经营高危险性体育项目的，由县级以上地方人民政府体育主管部门按照管理权限责令改正；有违法所得的，没收违法所得；违法所得不足3万元或者没有违法所得的，并处3万元以上10万元以下的罚款；违法所得3万元以上的，并处违法所得2倍以上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高危险性体育项目经营者取得许可证后，不再符合本条例规定条件仍经营该体育项目的，由县级以上地方人民政府体育主管部门按照管理权限责令改正；有违法所得的，没收违法所得；违法所得不足3万元或者没有违法所得的，并处3万元以上10万元以下的罚款；违法所得3万元以上的，并处违法所得2倍以上5倍以下的罚款；拒不改正的，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利用健身活动从事宣扬封建迷信、违背社会公德、扰乱公共秩序、损害公民身心健康的行为的，由公安机关依照《中华人民共和国治安管理处罚法》的规定给予处罚；构成犯罪的，依法追究刑事责任。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县级以上人民政府及其有关部门的工作人员在全民健身工作中玩忽职守、滥用职权、徇私舞弊的，依法给予处分；构成犯罪的，依法追究刑事责任。</w:t>
      </w:r>
    </w:p>
    <w:p>
      <w:pPr>
        <w:pStyle w:val="3"/>
        <w:bidi w:val="0"/>
      </w:pPr>
      <w:r>
        <w:t>第六章　附则</w:t>
      </w:r>
    </w:p>
    <w:p>
      <w:pPr>
        <w:pStyle w:val="10"/>
        <w:ind w:firstLine="640" w:firstLineChars="200"/>
        <w:rPr>
          <w:rFonts w:hint="eastAsia"/>
          <w:sz w:val="24"/>
          <w:lang w:eastAsia="zh-CN"/>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本条例自2009年10月1日起施行。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FE16FBA"/>
    <w:rsid w:val="206F613F"/>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78035B"/>
    <w:rsid w:val="40DC5AC3"/>
    <w:rsid w:val="40F66CF8"/>
    <w:rsid w:val="40FE47B4"/>
    <w:rsid w:val="41B857FD"/>
    <w:rsid w:val="429465D8"/>
    <w:rsid w:val="431B4937"/>
    <w:rsid w:val="434336CE"/>
    <w:rsid w:val="4361706F"/>
    <w:rsid w:val="43CA1521"/>
    <w:rsid w:val="43D46F84"/>
    <w:rsid w:val="444B0E8A"/>
    <w:rsid w:val="45866A2B"/>
    <w:rsid w:val="46D80A88"/>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695AB4"/>
    <w:rsid w:val="529D4C7B"/>
    <w:rsid w:val="53BF5C69"/>
    <w:rsid w:val="53DA0A4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13A7AC3"/>
    <w:rsid w:val="72A30A90"/>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2019-06-10T13:23:45Z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