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关于国家机关工作人员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福利费掌管使用的暂行规定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(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1957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5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22</w:t>
      </w:r>
      <w:r>
        <w:rPr>
          <w:rFonts w:hint="eastAsia" w:ascii="楷体_GB2312" w:hAnsi="楷体_GB2312" w:eastAsia="楷体_GB2312" w:cs="楷体_GB2312"/>
          <w:sz w:val="32"/>
          <w:szCs w:val="32"/>
        </w:rPr>
        <w:t>日</w:t>
      </w:r>
      <w:r>
        <w:rPr>
          <w:rFonts w:ascii="Times New Roman" w:hAnsi="Times New Roman" w:eastAsia="楷体_GB2312" w:cs="Times New Roman"/>
          <w:sz w:val="32"/>
          <w:szCs w:val="32"/>
        </w:rPr>
        <w:t>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为了适当地解决国家机关工作人员(以下简称工作人员)的生活困难，特作以下的规定：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工作人员的福利费标准，根据各级机关工作人员工资水平和城乡生活水平的不同情况，另作具体规定。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中央机关工作人员的福利费，经过国务院人事局作必要的调剂以后，由各机关的人事工作部门掌管使用；地方机关工作人员的福利费，经过各省、自治区、直辖市人民委员会的人事局(处)在本省、区、市辖区内作必要的调剂以后，由县级以上各级的人事工作部门统一掌管使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工作人员福利费年终结余，一律不再上缴，但不能挪作别用。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福利费的使用范围，包括：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(一)解决工作人员的家属生活费困难；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(二)解决工作人员的家属患病医药费困难；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(三)解决工作人员的家属死亡埋葬费困难；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(四)解决工作人员的其他特殊困难；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(五)补助集体福利事业费用。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</w:t>
      </w:r>
      <w:r>
        <w:rPr>
          <w:rFonts w:ascii="Times New Roman" w:hAnsi="Times New Roman" w:eastAsia="仿宋_GB2312" w:cs="Times New Roman"/>
          <w:sz w:val="32"/>
          <w:szCs w:val="32"/>
        </w:rPr>
        <w:t>工作人员的工资收入和其他经济收入，负担本人生活费(职务不同，生活费用应有所区别)和他(她)们家属生活费(一般根据家属居住地的人民生活水平确定)有困难的，或者因家属治病医药费、家属死亡埋葬费有困难的，以及有其他特殊困难的，都应该根据</w:t>
      </w:r>
      <w:r>
        <w:rPr>
          <w:rFonts w:hAnsi="宋体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困难大的多补助，困难小的少补助</w:t>
      </w:r>
      <w:r>
        <w:rPr>
          <w:rFonts w:hAnsi="宋体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的原则，酌予定期或者临时补助。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福利费解决了工作人员各项困难，还有结余的时候，对集体福利所需费用，可以适当地给予补助。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五、</w:t>
      </w:r>
      <w:r>
        <w:rPr>
          <w:rFonts w:ascii="Times New Roman" w:hAnsi="Times New Roman" w:eastAsia="仿宋_GB2312" w:cs="Times New Roman"/>
          <w:sz w:val="32"/>
          <w:szCs w:val="32"/>
        </w:rPr>
        <w:t>工作人员的各项困难补助，由本人申请，经过本机关福利组织评议以后，商请本机关人事工作部门确定。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六、</w:t>
      </w:r>
      <w:r>
        <w:rPr>
          <w:rFonts w:ascii="Times New Roman" w:hAnsi="Times New Roman" w:eastAsia="仿宋_GB2312" w:cs="Times New Roman"/>
          <w:sz w:val="32"/>
          <w:szCs w:val="32"/>
        </w:rPr>
        <w:t>各省、自治区、直辖市人民委员会可以根据本规定的精神，结合当地具体情况作具体的规定。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七、</w:t>
      </w:r>
      <w:r>
        <w:rPr>
          <w:rFonts w:ascii="Times New Roman" w:hAnsi="Times New Roman" w:eastAsia="仿宋_GB2312" w:cs="Times New Roman"/>
          <w:sz w:val="32"/>
          <w:szCs w:val="32"/>
        </w:rPr>
        <w:t>本规定自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一九五七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六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日起实行。原中央人民政府政务院于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一九五四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月所发《关于各级人民政府工作人员福利费掌管使用办法的通知》和本院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一九五四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十二</w:t>
      </w:r>
      <w:r>
        <w:rPr>
          <w:rFonts w:ascii="Times New Roman" w:hAnsi="Times New Roman" w:eastAsia="仿宋_GB2312" w:cs="Times New Roman"/>
          <w:sz w:val="32"/>
          <w:szCs w:val="32"/>
        </w:rPr>
        <w:t>月所发《关于各级人民政府工作人员福利费掌管使用问题的补充通知》都同时废止。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B023D3"/>
    <w:rsid w:val="01CF6706"/>
    <w:rsid w:val="026D2287"/>
    <w:rsid w:val="02B836F8"/>
    <w:rsid w:val="02D3568D"/>
    <w:rsid w:val="03356D16"/>
    <w:rsid w:val="03985ADA"/>
    <w:rsid w:val="058213F7"/>
    <w:rsid w:val="0788080A"/>
    <w:rsid w:val="07E71367"/>
    <w:rsid w:val="08FF0C17"/>
    <w:rsid w:val="0963250F"/>
    <w:rsid w:val="097F7BAD"/>
    <w:rsid w:val="09B60066"/>
    <w:rsid w:val="0A8C2526"/>
    <w:rsid w:val="0AEB2A0D"/>
    <w:rsid w:val="0B3D0578"/>
    <w:rsid w:val="0C645484"/>
    <w:rsid w:val="0D3C4224"/>
    <w:rsid w:val="0D610029"/>
    <w:rsid w:val="0DFE10B9"/>
    <w:rsid w:val="10A47D69"/>
    <w:rsid w:val="134A1994"/>
    <w:rsid w:val="136642BB"/>
    <w:rsid w:val="142327B5"/>
    <w:rsid w:val="14484CDF"/>
    <w:rsid w:val="155E2CB3"/>
    <w:rsid w:val="157124FD"/>
    <w:rsid w:val="174517D7"/>
    <w:rsid w:val="18413C16"/>
    <w:rsid w:val="198A0A54"/>
    <w:rsid w:val="19DB6C33"/>
    <w:rsid w:val="1BAF2172"/>
    <w:rsid w:val="1C9212F7"/>
    <w:rsid w:val="20D86240"/>
    <w:rsid w:val="21CE0F2E"/>
    <w:rsid w:val="221B432D"/>
    <w:rsid w:val="22DD4281"/>
    <w:rsid w:val="253620CC"/>
    <w:rsid w:val="25F044FF"/>
    <w:rsid w:val="26CA1A3A"/>
    <w:rsid w:val="27680A3B"/>
    <w:rsid w:val="28035A8D"/>
    <w:rsid w:val="2834230D"/>
    <w:rsid w:val="28F8723D"/>
    <w:rsid w:val="291432C1"/>
    <w:rsid w:val="2B01664D"/>
    <w:rsid w:val="2C7458A4"/>
    <w:rsid w:val="2D644059"/>
    <w:rsid w:val="2DBE0D65"/>
    <w:rsid w:val="2DDE6B1E"/>
    <w:rsid w:val="2E1B43B4"/>
    <w:rsid w:val="2E6E70D4"/>
    <w:rsid w:val="2ED32E01"/>
    <w:rsid w:val="2FF20DF5"/>
    <w:rsid w:val="318138A8"/>
    <w:rsid w:val="320E2B0A"/>
    <w:rsid w:val="32252208"/>
    <w:rsid w:val="330D4027"/>
    <w:rsid w:val="3330356C"/>
    <w:rsid w:val="33CF5811"/>
    <w:rsid w:val="34031BBE"/>
    <w:rsid w:val="35095248"/>
    <w:rsid w:val="386D21AD"/>
    <w:rsid w:val="39C71577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5866A2B"/>
    <w:rsid w:val="47A250A3"/>
    <w:rsid w:val="48AC4D69"/>
    <w:rsid w:val="494B3B16"/>
    <w:rsid w:val="49C224BB"/>
    <w:rsid w:val="4A55176F"/>
    <w:rsid w:val="4DC87E21"/>
    <w:rsid w:val="4E6A2FDF"/>
    <w:rsid w:val="4EDF3D2B"/>
    <w:rsid w:val="4EED79F5"/>
    <w:rsid w:val="5080370D"/>
    <w:rsid w:val="512A1D93"/>
    <w:rsid w:val="523F45D1"/>
    <w:rsid w:val="52695AB4"/>
    <w:rsid w:val="529D4C7B"/>
    <w:rsid w:val="53BF5C69"/>
    <w:rsid w:val="53DA0A43"/>
    <w:rsid w:val="55B865F8"/>
    <w:rsid w:val="55C0390E"/>
    <w:rsid w:val="55D520AC"/>
    <w:rsid w:val="566F7832"/>
    <w:rsid w:val="575D4E2E"/>
    <w:rsid w:val="58035B31"/>
    <w:rsid w:val="58F6185E"/>
    <w:rsid w:val="591257DC"/>
    <w:rsid w:val="5B353B99"/>
    <w:rsid w:val="5C223266"/>
    <w:rsid w:val="5DB22BFD"/>
    <w:rsid w:val="5DD739B2"/>
    <w:rsid w:val="5E8274BF"/>
    <w:rsid w:val="5E900D37"/>
    <w:rsid w:val="5F5011B7"/>
    <w:rsid w:val="5F88093C"/>
    <w:rsid w:val="60492E1B"/>
    <w:rsid w:val="60F970CE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74048E2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6EB30283"/>
    <w:rsid w:val="6F90751F"/>
    <w:rsid w:val="712B5699"/>
    <w:rsid w:val="746D1278"/>
    <w:rsid w:val="762C29D0"/>
    <w:rsid w:val="76975133"/>
    <w:rsid w:val="769B60FD"/>
    <w:rsid w:val="76C10F77"/>
    <w:rsid w:val="773153EC"/>
    <w:rsid w:val="77D8678E"/>
    <w:rsid w:val="78061DFD"/>
    <w:rsid w:val="7814798C"/>
    <w:rsid w:val="7819740D"/>
    <w:rsid w:val="789F59B2"/>
    <w:rsid w:val="78ED2B64"/>
    <w:rsid w:val="7A224A32"/>
    <w:rsid w:val="7A4B0114"/>
    <w:rsid w:val="7A6D55E9"/>
    <w:rsid w:val="7ABD49CD"/>
    <w:rsid w:val="7BA85469"/>
    <w:rsid w:val="7C0E15E2"/>
    <w:rsid w:val="7C28250F"/>
    <w:rsid w:val="7CFB06AD"/>
    <w:rsid w:val="7D0E2676"/>
    <w:rsid w:val="7E600C51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4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4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4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4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范杰</cp:lastModifiedBy>
  <dcterms:modified xsi:type="dcterms:W3CDTF">2019-12-24T00:52:34Z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