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eastAsia="仿宋_GB2312" w:cs="Times New Roman"/>
          <w:sz w:val="32"/>
          <w:szCs w:val="32"/>
        </w:rPr>
      </w:pPr>
    </w:p>
    <w:p>
      <w:pPr>
        <w:pStyle w:val="3"/>
        <w:jc w:val="center"/>
        <w:rPr>
          <w:rFonts w:ascii="Times New Roman" w:hAnsi="Times New Roman" w:cs="Times New Roman"/>
          <w:sz w:val="44"/>
          <w:szCs w:val="44"/>
        </w:rPr>
      </w:pPr>
      <w:r>
        <w:rPr>
          <w:rFonts w:ascii="Times New Roman" w:hAnsi="Times New Roman" w:cs="Times New Roman"/>
          <w:sz w:val="44"/>
          <w:szCs w:val="44"/>
        </w:rPr>
        <w:t>关于工资总额组成的规定</w:t>
      </w:r>
    </w:p>
    <w:p>
      <w:pPr>
        <w:pStyle w:val="3"/>
        <w:ind w:firstLine="640" w:firstLineChars="200"/>
        <w:rPr>
          <w:rFonts w:ascii="方正楷体_GBK" w:hAnsi="方正楷体_GBK" w:eastAsia="方正楷体_GBK" w:cs="方正楷体_GBK"/>
          <w:sz w:val="32"/>
          <w:szCs w:val="32"/>
        </w:rPr>
      </w:pPr>
    </w:p>
    <w:p>
      <w:pPr>
        <w:pStyle w:val="3"/>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(1989年9月30日国务院批准　1990年1月1日国家统计局令第1号发布</w:t>
      </w:r>
      <w:r>
        <w:rPr>
          <w:rFonts w:hint="eastAsia" w:ascii="楷体_GB2312" w:hAnsi="楷体_GB2312" w:eastAsia="楷体_GB2312" w:cs="楷体_GB2312"/>
          <w:sz w:val="32"/>
          <w:szCs w:val="32"/>
          <w:lang w:val="en-US" w:eastAsia="zh-CN"/>
        </w:rPr>
        <w:t xml:space="preserve">  自发布之日起施行</w:t>
      </w:r>
      <w:r>
        <w:rPr>
          <w:rFonts w:hint="eastAsia" w:ascii="楷体_GB2312" w:hAnsi="楷体_GB2312" w:eastAsia="楷体_GB2312" w:cs="楷体_GB2312"/>
          <w:sz w:val="32"/>
          <w:szCs w:val="32"/>
        </w:rPr>
        <w:t>)</w:t>
      </w:r>
    </w:p>
    <w:p>
      <w:pPr>
        <w:pStyle w:val="2"/>
        <w:jc w:val="center"/>
        <w:rPr>
          <w:rFonts w:ascii="方正黑体_GBK" w:eastAsia="方正黑体_GBK"/>
        </w:rPr>
      </w:pPr>
      <w:r>
        <w:rPr>
          <w:rFonts w:hint="eastAsia" w:ascii="方正黑体_GBK" w:hAnsi="Times New Roman" w:eastAsia="方正黑体_GBK" w:cs="Times New Roman"/>
        </w:rPr>
        <w:t>第一章　总则</w:t>
      </w:r>
      <w:bookmarkStart w:id="0" w:name="_GoBack"/>
      <w:bookmarkEnd w:id="0"/>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为了统一工资总额的计算范围，保证国家对工资进行统一的统计核算和会计核算，有利于编制、检查计划和进行工资管理以及正确地反映职工的工资收入，制定本规定。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全民所有制和集体所有制企业、事业单位，各种合营单位，各级国家机关、政党机关和社会团体，在计划、统计、会计上有关工资总额范围的计算，均应遵守本规定。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工资总额是指各单位在一定时期内直接支付给本单位全部职工的劳动报酬总额。</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工资总额的计算应以直接支付给职工的全部劳动报酬为根据。</w:t>
      </w:r>
    </w:p>
    <w:p>
      <w:pPr>
        <w:pStyle w:val="2"/>
        <w:jc w:val="center"/>
        <w:rPr>
          <w:rFonts w:ascii="方正黑体_GBK" w:eastAsia="方正黑体_GBK"/>
        </w:rPr>
      </w:pPr>
      <w:r>
        <w:rPr>
          <w:rFonts w:hint="eastAsia" w:ascii="方正黑体_GBK" w:hAnsi="Times New Roman" w:eastAsia="方正黑体_GBK" w:cs="Times New Roman"/>
        </w:rPr>
        <w:t>第二章　工资总额的组成</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工资总额由下列6个部分组成：</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(一)计时工资；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(二)计件工资；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(三)奖金；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(四)津贴和补贴；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(五)加班加点工资；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(六)特殊情况下支付的工资。</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计时工资是指按计时工资标准(包括地区生活费补贴)和工作时间支付给个人的劳动报酬。包括：</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(一)对已做工作按计时工资标准支付的工资；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(二)实行结构工资制的单位支付给职工的基础工资和职务(岗位)工资；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(三)新参加工作职工的见习工资(学徒的生活费)；</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(四)运动员体育津贴。</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计件工资是指对已做工作按计件单价支付的劳动报酬。包括：</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(一)实行超额累进计件、直接无限计件、限额计件、超定额计件等工资制，按劳动部门或主管部门批准的定额和计件单价支付给个人的工资；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(二)按工作任务包干方法支付给个人的工资；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(三)按营业额提成或利润提成办法支付给个人的工资。</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奖金是指支付给职工的超额劳动报酬和增收节支的劳动报酬。包括：</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(一)生产奖；</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(二)节约奖；</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(三)劳动竞赛奖；</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(四)机关、事业单位的奖励工资；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(五)其他奖金。</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津贴和补贴是指为了补偿职工特殊或额外的劳动消耗和因其他特殊原因支付给职工的津贴，以及为了保证职工工资水平不受物价影响支付给职工的物价补贴。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(一)津贴。包括：补偿职工特殊或额外劳动消耗的津贴，保健性津贴，技术性津贴，年功性津贴及其他津贴。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(二)物价补贴。包括：为保证职工工资水平不受物价上涨或变动影响而支付的各种补贴。</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加班加点工资是指按规定支付的加班工资和加点工资。</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特殊情况下支付的工资。包括：</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(一)根据国家法律、法规和政策规定，因病、工伤、产假、计划生育假、婚丧假、事假、探亲假、定期休假、停工学习、执行国家或社会义务等原因按计时工资标准或计时工资标准的一定比例支付的工资；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(二)附加工资、保留工资。</w:t>
      </w:r>
    </w:p>
    <w:p>
      <w:pPr>
        <w:pStyle w:val="2"/>
        <w:jc w:val="center"/>
        <w:rPr>
          <w:rFonts w:ascii="方正黑体_GBK" w:eastAsia="方正黑体_GBK"/>
        </w:rPr>
      </w:pPr>
      <w:r>
        <w:rPr>
          <w:rFonts w:hint="eastAsia" w:ascii="方正黑体_GBK" w:hAnsi="Times New Roman" w:eastAsia="方正黑体_GBK" w:cs="Times New Roman"/>
        </w:rPr>
        <w:t>第三章　工资总额不包括的项目</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下列各项不列入工资总额的范围：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(一)根据国务院发布的有关规定颁发的创造发明奖、自然科学奖、科学技术进步奖和支付的合理化建议和技术改进奖以及支付给运动员、教练员的奖金；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(二)有关劳动保险和职工福利方面的各项费用；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(三)有关离休、退休、退职人员待遇的各项支出；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(四)劳动保护的各项支出；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(五)稿费、讲课费及其他专门工作报酬；</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(六)出差伙食补助费、误餐补助、调动工作的旅费和安家费；</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(七)对自带工具、牲畜来企业工作职工所支付的工具、牲畜等的补偿费用；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(八)实行租赁经营单位的承租人的风险性补偿收入；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(九)对购买本企业股票和债券的职工所支付的股息(包括股金分红)和利息；</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(十)劳动合同制职工解除劳动合同时由企业支付的医疗补助费、生活补助费等；</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(十一)因录用临时工而在工资以外向提供劳动力单位支付的手续费或管理费；</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(十二)支付给家庭工人的加工费和按加工订货办法支付给承包单位的发包费用；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(十三)支付给参加企业劳动的在校学生的补贴；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(十四)计划生育独生子女补贴。</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前条所列各项按照国家规定另行统计。</w:t>
      </w:r>
    </w:p>
    <w:p>
      <w:pPr>
        <w:pStyle w:val="2"/>
        <w:jc w:val="center"/>
        <w:rPr>
          <w:rFonts w:ascii="方正黑体_GBK" w:eastAsia="方正黑体_GBK"/>
        </w:rPr>
      </w:pPr>
      <w:r>
        <w:rPr>
          <w:rFonts w:hint="eastAsia" w:ascii="方正黑体_GBK" w:hAnsi="Times New Roman" w:eastAsia="方正黑体_GBK" w:cs="Times New Roman"/>
        </w:rPr>
        <w:t>第四章　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中华人民共和国境内的私营单位、华侨及港、澳、台工商业者经营单位和外商经营单位有关工资总额范围的计算，参照本规定执行。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本规定由国家统计局负责解释。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各地区、各部门可依据本规定制定有关工资总额组成的具体范围的规定。</w:t>
      </w:r>
    </w:p>
    <w:p>
      <w:pPr>
        <w:ind w:firstLine="640" w:firstLineChars="200"/>
        <w:rPr>
          <w:rFonts w:hint="eastAsia" w:ascii="仿宋_GB2312" w:eastAsia="仿宋_GB231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本规定自发布之日起施行。国务院1955年5月21日批准颁发的《关于工资总额组成的暂行规定》同时废止。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D58018C"/>
    <w:rsid w:val="000C27CF"/>
    <w:rsid w:val="0046438C"/>
    <w:rsid w:val="00630B9A"/>
    <w:rsid w:val="009A228E"/>
    <w:rsid w:val="00D4685B"/>
    <w:rsid w:val="00E24D98"/>
    <w:rsid w:val="022538C6"/>
    <w:rsid w:val="06DE14DB"/>
    <w:rsid w:val="0C632C2D"/>
    <w:rsid w:val="4D58018C"/>
    <w:rsid w:val="551B1BAA"/>
    <w:rsid w:val="5CC45CA2"/>
    <w:rsid w:val="68AF16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259</Words>
  <Characters>1477</Characters>
  <Lines>12</Lines>
  <Paragraphs>3</Paragraphs>
  <TotalTime>0</TotalTime>
  <ScaleCrop>false</ScaleCrop>
  <LinksUpToDate>false</LinksUpToDate>
  <CharactersWithSpaces>1733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2019-05-23T02:12:00Z</dcterms:created>
  <dc:creator>Administrator</dc:creator>
  <cp:lastModifiedBy>范杰</cp:lastModifiedBy>
  <dcterms:modified xsi:type="dcterms:W3CDTF">2019-08-01T02:25:14Z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