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劳动保障监察条例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(2004年10月26日国务院第68次常务会议通过　2004年11月1日中华人民共和国国务院令第423号公布　自2004年12月1日起施行)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为了贯彻实施劳动和社会保障(以下称劳动保障)法律、法规和规章，规范劳动</w:t>
      </w:r>
      <w:bookmarkStart w:id="0" w:name="_GoBack"/>
      <w:bookmarkEnd w:id="0"/>
      <w:r>
        <w:rPr>
          <w:rFonts w:ascii="Times New Roman" w:hAnsi="Times New Roman" w:eastAsia="仿宋_GB2312" w:cs="Times New Roman"/>
          <w:sz w:val="32"/>
          <w:szCs w:val="32"/>
        </w:rPr>
        <w:t>保障监察工作，维护劳动者的合法权益，根据劳动法和有关法律，制定本条例。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对企业和个体工商户(以下称用人单位)进行劳动保障监察，适用本条例。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对职业介绍机构、职业技能培训机构和职业技能考核鉴定机构进行劳动保障监察，依照本条例执行。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国务院劳动保障行政部门主管全国的劳动保障监察工作。县级以上地方各级人民政府劳动保障行政部门主管本行政区域内的劳动保障监察工作。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县级以上各级人民政府有关部门根据各自职责，支持、协助劳动保障行政部门的劳动保障监察工作。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县级、设区的市级人民政府劳动保障行政部门可以委托符合监察执法条件的组织实施劳动保障监察。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劳动保障行政部门和受委托实施劳动保障监察的组织中的劳动保障监察员应当经过相应的考核或者考试录用。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劳动保障监察证件由国务院劳动保障行政部门监制。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县级以上地方各级人民政府应当加强劳动保障监察工作。劳动保障监察所需经费列入本级财政预算。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用人单位应当遵守劳动保障法律、法规和规章，接受并配合劳动保障监察。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各级工会依法维护劳动者的合法权益，对用人单位遵守劳动保障法律、法规和规章的情况进行监督。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劳动保障行政部门在劳动保障监察工作中应当注意听取工会组织的意见和建议。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劳动保障监察遵循公正、公开、高效、便民的原则。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实施劳动保障监察，坚持教育与处罚相结合，接受社会监督。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任何组织或者个人对违反劳动保障法律、法规或者规章的行为，有权向劳动保障行政部门举报。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劳动者认为用人单位侵犯其劳动保障合法权益的，有权向劳动保障行政部门投诉。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劳动保障行政部门应当为举报人保密；对举报属实，为查处重大违反劳动保障法律、法规或者规章的行为提供主要线索和证据的举报人，给予奖励。</w:t>
      </w:r>
    </w:p>
    <w:p>
      <w:pPr>
        <w:pStyle w:val="2"/>
        <w:jc w:val="center"/>
        <w:rPr>
          <w:rFonts w:ascii="方正黑体_GBK" w:eastAsia="方正黑体_GBK"/>
        </w:rPr>
      </w:pPr>
      <w:r>
        <w:rPr>
          <w:rFonts w:hint="eastAsia" w:ascii="方正黑体_GBK" w:hAnsi="Times New Roman" w:eastAsia="方正黑体_GBK" w:cs="Times New Roman"/>
        </w:rPr>
        <w:t>第二章　劳动保障监察职责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劳动保障行政部门实施劳动保障监察，履行下列职责：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(一)宣传劳动保障法律、法规和规章，督促用人单位贯彻执行；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(二)检查用人单位遵守劳动保障法律、法规和规章的情况；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(三)受理对违反劳动保障法律、法规或者规章的行为的举报、投诉；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(四)依法纠正和查处违反劳动保障法律、法规或者规章的行为。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劳动保障行政部门对下列事项实施劳动保障监察：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(一)用人单位制定内部劳动保障规章制度的情况；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(二)用人单位与劳动者订立劳动合同的情况；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(三)用人单位遵守禁止使用童工规定的情况；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(四)用人单位遵守女职工和未成年工特殊劳动保护规定的情况；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(五)用人单位遵守工作时间和休息休假规定的情况；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(六)用人单位支付劳动者工资和执行最低工资标准的情况；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(七)用人单位参加各项社会保险和缴纳社会保险费的情况；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(八)职业介绍机构、职业技能培训机构和职业技能考核鉴定机构遵守国家有关职业介绍、职业技能培训和职业技能考核鉴定的规定的情况；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(九)法律、法规规定的其他劳动保障监察事项。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劳动保障监察员依法履行劳动保障监察职责，受法律保护。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劳动保障监察员应当忠于职守，秉公执法，勤政廉洁，保守秘密。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任何组织或者个人对劳动保障监察员的违法违纪行为，有权向劳动保障行政部门或者有关机关检举、控告。</w:t>
      </w:r>
    </w:p>
    <w:p>
      <w:pPr>
        <w:pStyle w:val="2"/>
        <w:jc w:val="center"/>
        <w:rPr>
          <w:rFonts w:ascii="方正黑体_GBK" w:eastAsia="方正黑体_GBK"/>
        </w:rPr>
      </w:pPr>
      <w:r>
        <w:rPr>
          <w:rFonts w:hint="eastAsia" w:ascii="方正黑体_GBK" w:hAnsi="Times New Roman" w:eastAsia="方正黑体_GBK" w:cs="Times New Roman"/>
        </w:rPr>
        <w:t>第三章　劳动保障监察的实施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对用人单位的劳动保障监察，由用人单位用工所在地的县级或者设区的市级劳动保障行政部门管辖。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上级劳动保障行政部门根据工作需要，可以调查处理下级劳动保障行政部门管辖的案件。劳动保障行政部门对劳动保障监察管辖发生争议的，报请共同的上一级劳动保障行政部门指定管辖。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省、自治区、直辖市人民政府可以对劳动保障监察的管辖制定具体办法。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劳动保障监察以日常巡视检查、审查用人单位按照要求报送的书面材料以及接受举报投诉等形式进行。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劳动保障行政部门认为用人单位有违反劳动保障法律、法规或者规章的行为，需要进行调查处理的，应当及时立案。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劳动保障行政部门或者受委托实施劳动保障监察的组织应当设立举报、投诉信箱和电话。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对因违反劳动保障法律、法规或者规章的行为引起的群体性事件，劳动保障行政部门应当根据应急预案，迅速会同有关部门处理。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劳动保障行政部门实施劳动保障监察，有权采取下列调查、检查措施：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(一)进入用人单位的劳动场所进行检查；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(二)就调查、检查事项询问有关人员；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(三)要求用人单位提供与调查、检查事项相关的文件资料，并作出解释和说明，必要时可以发出调查询问书；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(四)采取记录、录音、录像、照像或者复制等方式收集有关情况和资料；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(五)委托会计师事务所对用人单位工资支付、缴纳社会保险费的情况进行审计；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(六)法律、法规规定可以由劳动保障行政部门采取的其他调查、检查措施。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劳动保障行政部门对事实清楚、证据确凿、可以当场处理的违反劳动保障法律、法规或者规章的行为有权当场予以纠正。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劳动保障监察员进行调查、检查，不得少于2人，并应当佩戴劳动保障监察标志、出示劳动保障监察证件。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劳动保障监察员办理的劳动保障监察事项与本人或者其近亲属有直接利害关系的，应当回避。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劳动保障行政部门对违反劳动保障法律、法规或者规章的行为的调查，应当自立案之日起60个工作日内完成；对情况复杂的，经劳动保障行政部门负责人批准，可以延长30个工作日。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劳动保障行政部门对违反劳动保障法律、法规或者规章的行为，根据调查、检查的结果，作出以下处理：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(一)对依法应当受到行政处罚的，依法作出行政处罚决定；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(二)对应当改正未改正的，依法责令改正或者作出相应的行政处理决定；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(三)对情节轻微且已改正的，撤销立案。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发现违法案件不属于劳动保障监察事项的，应当及时移送有关部门处理；涉嫌犯罪的，应当依法移送司法机关。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劳动保障行政部门对违反劳动保障法律、法规或者规章的行为作出行政处罚或者行政处理决定前，应当听取用人单位的陈述、申辩；作出行政处罚或者行政处理决定，应当告知用人单位依法享有申请行政复议或者提起行政诉讼的权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违反劳动保障法律、法规或者规章的行为在2年内未被劳动保障行政部门发现，也未被举报、投诉的，劳动保障行政部门不再查处。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前款规定的期限，自违反劳动保障法律、法规或者规章的行为发生之日起计算；违反劳动保障法律、法规或者规章的行为有连续或者继续状态的，自行为终了之日起计算。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用人单位违反劳动保障法律、法规或者规章，对劳动者造成损害的，依法承担赔偿责任。劳动者与用人单位就赔偿发生争议的，依照国家有关劳动争议处理的规定处理。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对应当通过劳动争议处理程序解决的事项或者已经按照劳动争议处理程序申请调解、仲裁或者已经提起诉讼的事项，劳动保障行政部门应当告知投诉人依照劳动争议处理或者诉讼的程序办理。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劳动保障行政部门应当建立用人单位劳动保障守法诚信档案。用人单位有重大违反劳动保障法律、法规或者规章的行为的，由有关的劳动保障行政部门向社会公布。</w:t>
      </w:r>
    </w:p>
    <w:p>
      <w:pPr>
        <w:pStyle w:val="2"/>
        <w:jc w:val="center"/>
        <w:rPr>
          <w:rFonts w:ascii="方正黑体_GBK" w:eastAsia="方正黑体_GBK"/>
        </w:rPr>
      </w:pPr>
      <w:r>
        <w:rPr>
          <w:rFonts w:hint="eastAsia" w:ascii="方正黑体_GBK" w:hAnsi="Times New Roman" w:eastAsia="方正黑体_GBK" w:cs="Times New Roman"/>
        </w:rPr>
        <w:t>第四章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用人单位有下列行为之一的，由劳动保障行政部门责令改正，按照受侵害的劳动者每人1000元以上5000元以下的标准计算，处以罚款：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(一)安排女职工从事矿山井下劳动、国家规定的第四级体力劳动强度的劳动或者其他禁忌从事的劳动的；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(二)安排女职工在经期从事高处、低温、冷水作业或者国家规定的第三级体力劳动强度的劳动的；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(三)安排女职工在怀孕期间从事国家规定的第三级体力劳动强度的劳动或者孕期禁忌从事的劳动的；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(四)安排怀孕7个月以上的女职工夜班劳动或者延长其工作时间的；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(五)女职工生育享受产假少于90天的；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(六)安排女职工在哺乳未满1周岁的婴儿期间从事国家规定的第三级体力劳动强度的劳动或者哺乳期禁忌从事的其他劳动，以及延长其工作时间或者安排其夜班劳动的；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(七)安排未成年工从事矿山井下、有毒有害、国家规定的第四级体力劳动强度的劳动或者其他禁忌从事的劳动的；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(八)未对未成年工定期进行健康检查的。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用人单位与劳动者建立劳动关系不依法订立劳动合同的，由劳动保障行政部门责令改正。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用人单位违反劳动保障法律、法规或者规章延长劳动者工作时间的，由劳动保障行政部门给予警告，责令限期改正，并可以按照受侵害的劳动者每人100元以上500元以下的标准计算，处以罚款。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用人单位有下列行为之一的，由劳动保障行政部门分别责令限期支付劳动者的工资报酬、劳动者工资低于当地最低工资标准的差额或者解除劳动合同的经济补偿；逾期不支付的，责令用人单位按照应付金额50%以上1倍以下的标准计算，向劳动者加付赔偿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(一)克扣或者无故拖欠劳动者工资报酬的；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(二)支付劳动者的工资低于当地最低工资标准的；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(三)解除劳动合同未依法给予劳动者经济补偿的。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用人单位向社会保险经办机构申报应缴纳的社会保险费数额时，瞒报工资总额或者职工人数的，由劳动保障行政部门责令改正，并处瞒报工资数额1倍以上3倍以下的罚款。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骗取社会保险待遇或者骗取社会保险基金支出的，由劳动保障行政部门责令退还，并处骗取金额1倍以上3倍以下的罚款；构成犯罪的，依法追究刑事责任。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职业介绍机构、职业技能培训机构或者职业技能考核鉴定机构违反国家有关职业介绍、职业技能培训或者职业技能考核鉴定的规定的，由劳动保障行政部门责令改正，没收违法所得，并处1万元以上5万元以下的罚款；情节严重的，吊销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未经劳动保障行政部门许可，从事职业介绍、职业技能培训或者职业技能考核鉴定的组织或者个人，由劳动保障行政部门、工商行政管理部门依照国家有关无照经营查处取缔的规定查处取缔。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用人单位违反《中华人民共和国工会法》，有下列行为之一的，由劳动保障行政部门责令改正：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(一)阻挠劳动者依法参加和组织工会，或者阻挠上级工会帮助、指导劳动者筹建工会的；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(二)无正当理由调动依法履行职责的工会工作人员的工作岗位，进行打击报复的；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(三)劳动者因参加工会活动而被解除劳动合同的；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(四)工会工作人员因依法履行职责被解除劳动合同的。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有下列行为之一的，由劳动保障行政部门责令改正；对有第(一)项、第(二)项或者第(三)项规定的行为的，处2000元以上2万元以下的罚款：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(一)无理抗拒、阻挠劳动保障行政部门依照本条例的规定实施劳动保障监察的；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(二)不按照劳动保障行政部门的要求报送书面材料，隐瞒事实真相，出具伪证或者隐匿、毁灭证据的；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(三)经劳动保障行政部门责令改正拒不改正，或者拒不履行劳动保障行政部门的行政处理决定的；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(四)打击报复举报人、投诉人的。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违反前款规定，构成违反治安管理行为的，由公安机关依法给予治安管理处罚；构成犯罪的，依法追究刑事责任。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劳动保障监察员滥用职权、玩忽职守、徇私舞弊或者泄露在履行职责过程中知悉的商业秘密的，依法给予行政处分；构成犯罪的，依法追究刑事责任。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劳动保障行政部门和劳动保障监察员违法行使职权，侵犯用人单位或者劳动者的合法权益的，依法承担赔偿责任。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属于本条例规定的劳动保障监察事项，法律、其他行政法规对处罚另有规定的，从其规定。</w:t>
      </w:r>
    </w:p>
    <w:p>
      <w:pPr>
        <w:pStyle w:val="2"/>
        <w:jc w:val="center"/>
        <w:rPr>
          <w:rFonts w:ascii="方正黑体_GBK" w:eastAsia="方正黑体_GBK"/>
        </w:rPr>
      </w:pPr>
      <w:r>
        <w:rPr>
          <w:rFonts w:hint="eastAsia" w:ascii="方正黑体_GBK" w:hAnsi="Times New Roman" w:eastAsia="方正黑体_GBK"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对无营业执照或者已被依法吊销营业执照，有劳动用工行为的，由劳动保障行政部门依照本条例实施劳动保障监察，并及时通报工商行政管理部门予以查处取缔。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国家机关、事业单位、社会团体执行劳动保障法律、法规和规章的情况，由劳动保障行政部门根据其职责，依照本条例实施劳动保障监察。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劳动安全卫生的监督检查，由卫生部门、安全生产监督管理部门、特种设备安全监督管理部门等有关部门依照有关法律、行政法规的规定执行。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本条例自2004年12月1日起施行。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A4C4A92"/>
    <w:rsid w:val="003F3E2D"/>
    <w:rsid w:val="00D4467B"/>
    <w:rsid w:val="00D975E1"/>
    <w:rsid w:val="2A4C4A92"/>
    <w:rsid w:val="548F0B46"/>
    <w:rsid w:val="5AC413BB"/>
    <w:rsid w:val="63B14A6E"/>
    <w:rsid w:val="73CF2081"/>
    <w:rsid w:val="75C80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742</Words>
  <Characters>4236</Characters>
  <Lines>35</Lines>
  <Paragraphs>9</Paragraphs>
  <TotalTime>0</TotalTime>
  <ScaleCrop>false</ScaleCrop>
  <LinksUpToDate>false</LinksUpToDate>
  <CharactersWithSpaces>4969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2019-05-23T02:12:00Z</dcterms:created>
  <dc:creator>Administrator</dc:creator>
  <cp:lastModifiedBy>Administrator</cp:lastModifiedBy>
  <dcterms:modified xsi:type="dcterms:W3CDTF">2019-07-05T07:46:11Z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