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反兴奋剂条例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2004年1月13日中华人民共和国国务院令第398号公布</w:t>
      </w:r>
      <w:r>
        <w:rPr>
          <w:rFonts w:ascii="Times New Roman" w:hAnsi="Times New Roman" w:eastAsia="楷体_GB2312" w:cs="Times New Roman"/>
          <w:sz w:val="32"/>
          <w:szCs w:val="32"/>
        </w:rPr>
        <w:t>　根据2011年1月8日《国务院关于废止和修改部分行政法规的决定》第一次修订　根据2014年7月29日《国务院关于修改部分行政法规的决定》第二次修订　根据2018年9月18日《国务院关于修改部分行政法规的决定》第三次修订)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为了防止在体育运动中使用兴奋剂，保护体育运动参加者的身心健康，维护体育竞赛的公平竞争，根据《中华人民共和国体育法》和其他有关法律，制定本条例。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本条例所称兴奋剂，是指兴奋剂目录所列的禁用物质等。兴奋剂目录由国务院体育主管部门会同国务院药品监督管理部门、国务院卫生主管部门、国务院商务主管部门和海关总署制定、调整并公布。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国家提倡健康、文明的体育运动，加强反兴奋剂的宣传、教育和监督管理，坚持严格禁止、严格检查、严肃处理的反兴奋剂工作方针，禁止使用兴奋剂。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任何单位和个人不得向体育运动参加者提供或者变相提供兴奋剂。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国务院体育主管部门负责并组织全国的反兴奋剂工作。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县级以上人民政府负责药品监督管理的部门和卫生、教育等有关部门，在各自职责范围内依照本条例和有关法律、行政法规的规定负责反兴奋剂工作。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县级以上人民政府体育主管部门，应当加强反兴奋剂宣传、教育工作，提高体育运动参加者和公众的反兴奋剂意识。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广播电台、电视台、报刊媒体以及互联网信息服务提供者应当开展反兴奋剂的宣传。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任何单位和个人发现违反本条例规定行为的，有权向体育主管部门和其他有关部门举报。</w:t>
      </w:r>
    </w:p>
    <w:p>
      <w:pPr>
        <w:pStyle w:val="3"/>
        <w:bidi w:val="0"/>
      </w:pPr>
      <w:r>
        <w:t>第二章　兴奋剂管理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国家对兴奋剂目录所列禁用物质实行严格管理，任何单位和个人不得非法生产、销售、进出口。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生产兴奋剂目录所列蛋白同化制剂、肽类激素(以下简称蛋白同化制剂、肽类激素)，应当依照《中华人民共和国药品管理法》(以下简称药品管理法)的规定取得《药品生产许可证》、药品批准文号。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生产企业应当记录蛋白同化制剂、肽类激素的生产、销售和库存情况，并保存记录至超过蛋白同化制剂、肽类激素有效期2年。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依照药品管理法的规定取得《药品经营许可证》的药品批发企业，具备下列条件，并经省、自治区、直辖市人民政府药品监督管理部门批准，方可经营蛋白同化制剂、肽类激素：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(一)有专门的管理人员；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(二)有专储仓库或者专储药柜；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(三)有专门的验收、检查、保管、销售和出入库登记制度；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蛋白同化制剂、肽类激素的验收、检查、保管、销售和出入库登记记录应当保存至超过蛋白同化制剂、肽类激素有效期2年。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除胰岛素外，药品零售企业不得经营蛋白同化制剂或者其他肽类激素。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进口蛋白同化制剂、肽类激素，除依照药品管理法及其实施条例的规定取得国务院药品监督管理部门发给的进口药品注册证书外，还应当取得省、自治区、直辖市人民政府药品监督管理部门颁发的进口准许证。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进口蛋白同化制剂、肽类激素，应当说明其用途。省、自治区、直辖市人民政府药品监督管理部门应当自收到申请之日起15个工作日内作出决定；对用途合法的，应当予以批准，发给进口准许证。海关凭进口准许证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申请出口蛋白同化制剂、肽类激素，应当说明供应对象并提交进口国政府主管部门的相关证明文件等资料。省、自治区、直辖市人民政府药品监督管理部门应当自收到申请之日起15个工作日内作出决定；提交进口国政府主管部门的相关证明文件等资料的，应当予以批准，发给出口准许证。海关凭出口准许证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境内企业接受境外企业委托生产蛋白同化制剂、肽类激素，应当签订书面委托生产合同，并将委托生产合同报省、自治区、直辖市人民政府药品监督管理部门备案。委托生产合同应当载明委托企业的国籍、委托生产的蛋白同化制剂或者肽类激素的品种、数量、生产日期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境内企业接受境外企业委托生产的蛋白同化制剂、肽类激素不得在境内销售。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蛋白同化制剂、肽类激素的生产企业只能向医疗机构、符合本条例第九条规定的药品批发企业和其他同类生产企业供应蛋白同化制剂、肽类激素。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蛋白同化制剂、肽类激素的批发企业只能向医疗机构、蛋白同化制剂、肽类激素的生产企业和其他同类批发企业供应蛋白同化制剂、肽类激素。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蛋白同化制剂、肽类激素的进口单位只能向蛋白同化制剂、肽类激素的生产企业、医疗机构和符合本条例第九条规定的药品批发企业供应蛋白同化制剂、肽类激素。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肽类激素中的胰岛素除依照本条第一款、第二款、第三款的规定供应外，还可以向药品零售企业供应。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医疗机构只能凭依法享有处方权的执业医师开具的处方向患者提供蛋白同化制剂、肽类激素。处方应当保存2年。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兴奋剂目录所列禁用物质属于麻醉药品、精神药品、医疗用毒性药品和易制毒化学品的，其生产、销售、进口、运输和使用，依照药品管理法和有关行政法规的规定实行特殊管理。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蛋白同化制剂、肽类激素和前款规定以外的兴奋剂目录所列其他禁用物质，实行处方药管理。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药品、食品中含有兴奋剂目录所列禁用物质的，生产企业应当在包装标识或者产品说明书上用中文注明</w:t>
      </w:r>
      <w:r>
        <w:rPr>
          <w:rFonts w:hAnsi="宋体" w:cs="Times New Roman"/>
          <w:sz w:val="32"/>
          <w:szCs w:val="32"/>
        </w:rPr>
        <w:t>“</w:t>
      </w:r>
      <w:r>
        <w:rPr>
          <w:rFonts w:ascii="Times New Roman" w:hAnsi="Times New Roman" w:eastAsia="仿宋_GB2312" w:cs="Times New Roman"/>
          <w:sz w:val="32"/>
          <w:szCs w:val="32"/>
        </w:rPr>
        <w:t>运动员慎用</w:t>
      </w:r>
      <w:r>
        <w:rPr>
          <w:rFonts w:hAnsi="宋体" w:cs="Times New Roman"/>
          <w:sz w:val="32"/>
          <w:szCs w:val="32"/>
        </w:rPr>
        <w:t>”</w:t>
      </w:r>
      <w:r>
        <w:rPr>
          <w:rFonts w:ascii="Times New Roman" w:hAnsi="Times New Roman" w:eastAsia="仿宋_GB2312" w:cs="Times New Roman"/>
          <w:sz w:val="32"/>
          <w:szCs w:val="32"/>
        </w:rPr>
        <w:t>字样。</w:t>
      </w:r>
    </w:p>
    <w:p>
      <w:pPr>
        <w:pStyle w:val="3"/>
        <w:bidi w:val="0"/>
      </w:pPr>
      <w:r>
        <w:t>第三章　反兴奋剂义务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实施运动员注册管理的体育社会团体(以下简称体育社会团体)应当加强对在本体育社会团体注册的运动员和教练、领队、队医等运动员辅助人员的监督管理和反兴奋剂的教育、培训。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运动员管理单位应当加强对其所属的运动员和运动员辅助人员的监督管理和反兴奋剂的教育、培训。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体育社会团体、运动员管理单位和其他单位，不得向运动员提供兴奋剂，不得组织、强迫、欺骗运动员在体育运动中使用兴奋剂。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科研单位不得为使用兴奋剂或者逃避兴奋剂检查提供技术支持。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运动员管理单位应当为其所属运动员约定医疗机构，指导运动员因医疗目的合理使用药物；应当记录并按照兴奋剂检查规则的规定向相关体育社会团体提供其所属运动员的医疗信息和药物使用情况。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体育社会团体、运动员管理单位，应当按照兴奋剂检查规则的规定提供运动员名单和每名运动员的教练、所从事的运动项目以及运动成绩等相关信息，并为兴奋剂检查提供便利。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全国性体育社会团体应当对在本体育社会团体注册的成员的下列行为规定处理措施和处理程序：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(一)运动员使用兴奋剂的；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(二)运动员辅助人员、运动员管理单位向运动员提供兴奋剂的；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(三)运动员、运动员辅助人员、运动员管理单位拒绝、阻挠兴奋剂检查的。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前款所指的处理程序还应当规定当事人的抗辩权和申诉权。全国性体育社会团体应当将处理措施和处理程序报国务院体育主管部门备案。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运动员辅助人员应当教育、提示运动员不得使用兴奋剂，并向运动员提供有关反兴奋剂规则的咨询。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运动员辅助人员不得向运动员提供兴奋剂，不得组织、强迫、欺骗、教唆、协助运动员在体育运动中使用兴奋剂，不得阻挠兴奋剂检查，不得实施影响采样结果的行为。</w:t>
      </w:r>
    </w:p>
    <w:p>
      <w:pPr>
        <w:pStyle w:val="10"/>
        <w:ind w:firstLine="616" w:firstLineChars="200"/>
        <w:rPr>
          <w:rFonts w:ascii="Times New Roman" w:hAnsi="Times New Roman" w:eastAsia="仿宋_GB2312" w:cs="Times New Roman"/>
          <w:sz w:val="32"/>
          <w:szCs w:val="32"/>
        </w:rPr>
      </w:pPr>
      <w:r>
        <w:rPr>
          <w:rFonts w:ascii="Times New Roman" w:hAnsi="Times New Roman" w:eastAsia="仿宋_GB2312" w:cs="Times New Roman"/>
          <w:spacing w:val="-6"/>
          <w:sz w:val="32"/>
          <w:szCs w:val="32"/>
        </w:rPr>
        <w:t>运动员发现运动员辅助人员违反前款规定的，有权检举、控告。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运动员不得在体育运动中使用兴奋剂。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在体育社会团体注册的运动员、运动员辅助人员凭依法享有处方权的执业医师开具的处方，方可持有含有兴奋剂目录所列禁用物质的药品。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体育社会团体注册的运动员接受医疗诊断时，应当按照兴奋剂检查规则的规定向医师说明其运动员身份。医师对其使用药品时，应当首先选择不含兴奋剂目录所列禁用物质的药品；确需使用含有这类禁用物质的药品的，应当告知其药品性质和使用后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在全国性体育社会团体注册的运动员，因医疗目的确需使用含有兴奋剂目录所列禁用物质的药品的，应当按照兴奋剂检查规则的规定申请核准后方可使用。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运动员应当接受兴奋剂检查，不得实施影响采样结果的行为。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在全国性体育社会团体注册的运动员离开运动员驻地的，应当按照兴奋剂检查规则的规定报告。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实施中等及中等以上教育的学校和其他教育机构应当加强反兴奋剂教育，提高学生的反兴奋剂意识，并采取措施防止在学校体育活动中使用兴奋剂；发现学生使用兴奋剂，应当予以制止。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体育专业教育应当包括反兴奋剂的教学内容。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体育健身活动经营单位及其专业指导人员，不得向体育健身活动参加者提供含有禁用物质的药品、食品。</w:t>
      </w:r>
    </w:p>
    <w:p>
      <w:pPr>
        <w:pStyle w:val="3"/>
        <w:bidi w:val="0"/>
      </w:pPr>
      <w:r>
        <w:t>第四章　兴奋剂检查与检测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国务院体育主管部门应当制定兴奋剂检查规则和兴奋剂检查计划并组织实施。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国务院体育主管部门应当根据兴奋剂检查计划，决定对全国性体育竞赛的参赛运动员实施赛内兴奋剂检查；并可以决定对省级体育竞赛的参赛运动员实施赛内兴奋剂检查。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其他体育竞赛需要进行赛内兴奋剂检查的，由竞赛组织者决定。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国务院体育主管部门应当根据兴奋剂检查计划，决定对在全国性体育社会团体注册的运动员实施赛外兴奋剂检查。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兴奋剂检查工作人员(以下简称检查人员)应当按照兴奋剂检查规则实施兴奋剂检查。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实施兴奋剂检查，应当有2名以上检查人员参加。检查人员履行兴奋剂检查职责时，应当出示兴奋剂检查证件；向运动员采集受检样本时，还应当出示按照兴奋剂检查规则签发的一次性兴奋剂检查授权书。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检查人员履行兴奋剂检查职责时，有权进入体育训练场所、体育竞赛场所和运动员驻地。有关单位和人员应当对检查人员履行兴奋剂检查职责予以配合，不得拒绝、阻挠。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受检样本由国务院体育主管部门确定的符合兴奋剂检测条件的检测机构检测。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兴奋剂检测机构及其工作人员，应当按照兴奋剂检查规则规定的范围和标准对受检样本进行检测。</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体育主管部门和其他行政机关及其工作人员不履行职责，或者包庇、纵容非法使用、提供兴奋剂，或者有其他违反本条例行为的，对负有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违反本条例规定，有下列行为之一的，由县级以上人民政府负责药品监督管理的部门按照国务院药品监督管理部门规定的职责分工，没收非法生产、经营的蛋白同化制剂、肽类激素和违法所得，并处违法生产、经营药品货值金额2倍以上5倍以下的罚款；情节严重的，由发证机关吊销《药品生产许可证》、《药品经营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(一)生产企业擅自生产蛋白同化制剂、肽类激素，或者未按照本条例规定渠道供应蛋白同化制剂、肽类激素的；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(二)药品批发企业擅自经营蛋白同化制剂、肽类激素，或者未按照本条例规定渠道供应蛋白同化制剂、肽类激素的；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(三)药品零售企业擅自经营蛋白同化制剂、肽类激素的。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体育社会团体、运动员管理单位向运动员提供兴奋剂或者组织、强迫、欺骗运动员在体育运动中使用兴奋剂的，由国务院体育主管部门或者省、自治区、直辖市人民政府体育主管部门收缴非法持有的兴奋剂；负有责任的主管人员和其他直接责任人员4年内不得从事体育管理工作和运动员辅助工作；情节严重的，终身不得从事体育管理工作和运动员辅助工作；造成运动员人身损害的，依法承担民事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体育社会团体、运动员管理单位未履行本条例规定的其他义务的，由国务院体育主管部门或者省、自治区、直辖市人民政府体育主管部门责令改正；造成严重后果的，负有责任的主管人员和其他直接责任人员2年内不得从事体育管理工作和运动员辅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运动员辅助人员组织、强迫、欺骗、教唆运动员在体育运动中使用兴奋剂的，由国务院体育主管部门或者省、自治区、直辖市人民政府体育主管部门收缴非法持有的兴奋剂；4年内不得从事运动员辅助工作和体育管理工作；情节严重的，终身不得从事运动员辅助工作和体育管理工作；造成运动员人身损害的，依法承担民事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动员辅助人员向运动员提供兴奋剂，或者协助运动员在体育运动中使用兴奋剂，或者实施影响采样结果行为的，由国务院体育主管部门或者省、自治区、直辖市人民政府体育主管部门收缴非法持有的兴奋剂；2年内不得从事运动员辅助工作和体育管理工作；情节严重的，终身不得从事运动员辅助工作和体育管理工作；造成运动员人身损害的，依法承担民事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运动员辅助人员非法持有兴奋剂的，由国务院体育主管部门或者省、自治区、直辖市人民政府体育主管部门收缴非法持有的兴奋剂；情节严重的，2年内不得从事运动员辅助工作。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体育社会团体、运动员管理单位违反本条例规定，负有责任的主管人员和其他直接责任人员属于国家工作人员的，还应当依法给予撤职、开除的行政处分。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运动员辅助人员违反本条例规定，属于国家工作人员的，还应当依法给予撤职、开除的行政处分。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按照本条例第三十九条、第四十条、第四十一条规定作出的处理决定应当公开，公众有权查阅。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医师未按照本条例的规定使用药品，或者未履行告知义务的，由县级以上人民政府卫生主管部门给予警告；造成严重后果的，责令暂停6个月以上1年以下执业活动。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体育健身活动经营单位向体育健身活动参加者提供含有禁用物质的药品、食品的，由负责药品监督管理的部门、食品安全监督管理部门依照药品管理法、《中华人民共和国食品安全法》和有关行政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运动员违反本条例规定的，由有关体育社会团体、运动员管理单位、竞赛组织者作出取消参赛资格、取消比赛成绩或者禁赛的处理。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运动员因受到前款规定的处理不服的，可以向体育仲裁机构申请仲裁。</w:t>
      </w:r>
    </w:p>
    <w:p>
      <w:pPr>
        <w:pStyle w:val="3"/>
        <w:bidi w:val="0"/>
      </w:pPr>
      <w:r>
        <w:t>第六章　附则</w:t>
      </w:r>
    </w:p>
    <w:p>
      <w:pPr>
        <w:pStyle w:val="3"/>
        <w:bidi w:val="0"/>
        <w:rPr>
          <w:rFonts w:hint="eastAsia"/>
          <w:lang w:eastAsia="zh-CN"/>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本条例自2004年3月1日起施行。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E16FBA"/>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2232D2"/>
    <w:rsid w:val="2C7458A4"/>
    <w:rsid w:val="2D644059"/>
    <w:rsid w:val="2DBE0D65"/>
    <w:rsid w:val="2DDE6B1E"/>
    <w:rsid w:val="2E1B43B4"/>
    <w:rsid w:val="2ED32E01"/>
    <w:rsid w:val="2F7908AB"/>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147850"/>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9D21D11"/>
    <w:rsid w:val="59E327B7"/>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1AE146C"/>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58742E"/>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