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商用密码管理条例</w:t>
      </w:r>
    </w:p>
    <w:p>
      <w:pPr>
        <w:pStyle w:val="10"/>
        <w:jc w:val="center"/>
        <w:rPr>
          <w:rFonts w:ascii="Times New Roman" w:hAnsi="Times New Roman" w:cs="Times New Roman"/>
          <w:sz w:val="44"/>
          <w:szCs w:val="44"/>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1999年10月7日中华人民共和国国务院令第273号发布</w:t>
      </w:r>
      <w:bookmarkEnd w:id="0"/>
      <w:r>
        <w:rPr>
          <w:rFonts w:ascii="Times New Roman" w:hAnsi="Times New Roman" w:eastAsia="楷体_GB2312" w:cs="Times New Roman"/>
          <w:sz w:val="32"/>
          <w:szCs w:val="32"/>
        </w:rPr>
        <w:t>　自发布之日起施行)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为了加强商用密码管理，保护信息安全，保护公民和组织的合法权益，维护国家的安全和利益，制定本条例。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本条例所称商用密码，是指对不涉及国家秘密内容的信息进行加密保护或者安全认证所使用的密码技术和密码产品。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商用密码技术属于国家秘密。国家对商用密码产品的科研、生产、销售和使用实行专控管理。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国家密码管理委员会及其办公室(以下简称国家密码管理机构)主管全国的商用密码管理工作。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省、自治区、直辖市负责密码管理的机构根据国家密码管理机构的委托，承担商用密码的有关管理工作。</w:t>
      </w:r>
    </w:p>
    <w:p>
      <w:pPr>
        <w:pStyle w:val="3"/>
        <w:bidi w:val="0"/>
      </w:pPr>
      <w:r>
        <w:t>第二章　科研、生产管理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商用密码的科研任务由国家密码管理机构指定的单位承担。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商用密码指定科研单位必须具有相应的技术力量和设备，能够采用先进的编码理论和技术，编制的商用密码算法具有较高的保密强度和抗攻击能力。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商用密码的科研成果，由国家密码管理机构组织专家按照商用密码技术标准和技术规范审查、鉴定。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商用密码产品由国家密码管理机构指定的单位生产。未经指定，任何单位或者个人不得生产商用密码产品。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商用密码产品指定生产单位必须具有与生产商用密码产品相适应的技术力量以及确保商用密码产品质量的设备、生产工艺和质量保证体系。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商用密码产品指定生产单位生产的商用密码产品的品种和型号，必须经国家密码管理机构批准，并不得超过批准范围生产商用密码产品。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商用密码产品，必须经国家密码管理机构指定的产品质量检测机构检测合格。</w:t>
      </w:r>
    </w:p>
    <w:p>
      <w:pPr>
        <w:pStyle w:val="3"/>
        <w:bidi w:val="0"/>
      </w:pPr>
      <w:r>
        <w:t>第三章　销售管理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商用密码产品由国家密码管理机构许可的单位销售。未经许可，任何单位或者个人不得销售商用密码产品。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销售商用密码产品，应当向国家密码管理机构提出申请，并应当具备下列条件：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(一)有熟悉商用密码产品知识和承担售后服务的人员；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(二)有完善的销售服务和安全管理规章制度；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(三)有独立的法人资格。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经审查合格的单位，由国家密码管理机构发给《商用密码产品销售许可证》。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销售商用密码产品，必须如实登记直接使用商用密码产品的用户的名称(姓名)、地址(住址)、组织机构代码(居民身份证号码)以及每台商用密码产品的用途，并将登记情况报国家密码管理机构备案。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进口密码产品以及含有密码技术的设备或者出口商用密码产品，必须报经国家密码管理机构批准。任何单位或者个人不得销售境外的密码产品。</w:t>
      </w:r>
    </w:p>
    <w:p>
      <w:pPr>
        <w:pStyle w:val="3"/>
        <w:bidi w:val="0"/>
      </w:pPr>
      <w:r>
        <w:t>第四章　使用管理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任何单位或者个人只能使用经国家密码管理机构认可的商用密码产品，不得使用自行研制的或者境外生产的密码产品。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境外组织或者个人在中国境内使用密码产品或者含有密码技术的设备，必须报经国家密码管理机构批准；但是，外国驻华外交代表机构、领事机构除外。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商用密码产品的用户不得转让其使用的商用密码产品。商用密码产品发生故障，必须由国家密码管理机构指定的单位维修。报废、销毁商用密码产品，应当向国家密码管理机构备案。</w:t>
      </w:r>
    </w:p>
    <w:p>
      <w:pPr>
        <w:pStyle w:val="3"/>
        <w:bidi w:val="0"/>
      </w:pPr>
      <w:r>
        <w:t>第五章　安全、保密管理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商用密码产品的科研、生产，应当在符合安全、保密要求的环境中进行。销售、运输、保管商用密码产品，应当采取相应的安全措施。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从事商用密码产品的科研、生产和销售以及使用商用密码产品的单位和人员，必须对所接触和掌握的商用密码技术承担保密义务。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宣传、公开展览商用密码产品，必须事先报国家密码管理机构批准。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任何单位和个人不得非法攻击商用密码，不得利用商用密码危害国家的安全和利益、危害社会治安或者进行其他违法犯罪活动。</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有下列行为之一的，由国家密码管理机构根据不同情况分别会同工商行政管理、海关等部门没收密码产品，有违法所得的，没收违法所得；情节严重的，可以并处违法所得1至3倍的罚款：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(一)未经指定，擅自生产商用密码产品的，或者商用密码产品指定生产单位超过批准范围生产商用密码产品的；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(二)未经许可，擅自销售商用密码产品的；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(三)未经批准，擅自进口密码产品以及含有密码技术的设备、出口商用密码产品或者销售境外的密码产品的。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经许可销售商用密码产品的单位未按照规定销售商用密码产品的，由国家密码管理机构会同工商行政管理部门给予警告，责令改正。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有下列行为之一的，由国家密码管理机构根据不同情况分别会同公安、国家安全机关给予警告，责令立即改正：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(一)在商用密码产品的科研、生产过程中违反安全、保密规定的；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(二)销售、运输、保管商用密码产品，未采取相应的安全措施的；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(三)未经批准，宣传、公开展览商用密码产品的；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(四)擅自转让商用密码产品或者不到国家密码管理机构指定的单位维修商用密码产品的。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使用自行研制的或者境外生产的密码产品，转让商用密码产品，或者不到国家密码管理机构指定的单位维修商用密码产品，情节严重的，由国家密码管理机构根据不同情况分别会同公安、国家安全机关没收其密码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商用密码产品的科研、生产、销售单位有本条例第二十条、第二十一条第一款第(一)、(二)、(三)项所列行为，造成严重后果的，由国家密码管理机构撤销其指定科研、生产单位资格，吊销《商用密码产品销售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泄露商用密码技术秘密、非法攻击商用密码或者利用商用密码从事危害国家的安全和利益的活动，情节严重，构成犯罪的，依法追究刑事责任。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所列行为尚不构成犯罪的，由国家密码管理机构根据不同情况分别会同国家安全机关或者保密部门没收其使用的商用密码产品，对有危害国家安全行为的，由国家安全机关依法处以行政拘留；属于国家工作人员的，并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境外组织或者个人未经批准，擅自使用密码产品或者含有密码技术的设备的，由国家密码管理机构会同公安机关给予警告，责令改正，可以并处没收密码产品或者含有密码技术的设备。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商用密码管理机构的工作人员滥用职权、玩忽职守、徇私舞弊，构成犯罪的，依法追究刑事责任；尚不构成犯罪的，依法给予行政处分。</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国家密码管理委员会可以依据本条例制定有关的管理规定。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本条例自发布之日起施行。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6A71ED5"/>
    <w:rsid w:val="0788080A"/>
    <w:rsid w:val="07E71367"/>
    <w:rsid w:val="08591B3B"/>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8413C16"/>
    <w:rsid w:val="198A0A54"/>
    <w:rsid w:val="19DB6C33"/>
    <w:rsid w:val="1C9212F7"/>
    <w:rsid w:val="20D86240"/>
    <w:rsid w:val="21CE0F2E"/>
    <w:rsid w:val="22DD4281"/>
    <w:rsid w:val="248D3D55"/>
    <w:rsid w:val="25F044FF"/>
    <w:rsid w:val="26CA1A3A"/>
    <w:rsid w:val="27680A3B"/>
    <w:rsid w:val="2834230D"/>
    <w:rsid w:val="28F8723D"/>
    <w:rsid w:val="2B01664D"/>
    <w:rsid w:val="2D644059"/>
    <w:rsid w:val="2DBE0D65"/>
    <w:rsid w:val="2E1B43B4"/>
    <w:rsid w:val="2ED32E01"/>
    <w:rsid w:val="2FF20DF5"/>
    <w:rsid w:val="318138A8"/>
    <w:rsid w:val="320E2B0A"/>
    <w:rsid w:val="32252208"/>
    <w:rsid w:val="3330356C"/>
    <w:rsid w:val="33CF5811"/>
    <w:rsid w:val="35095248"/>
    <w:rsid w:val="386061AE"/>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94B3B16"/>
    <w:rsid w:val="4DC87E21"/>
    <w:rsid w:val="4EDF3D2B"/>
    <w:rsid w:val="4EED79F5"/>
    <w:rsid w:val="5080370D"/>
    <w:rsid w:val="523F45D1"/>
    <w:rsid w:val="52695AB4"/>
    <w:rsid w:val="529D4C7B"/>
    <w:rsid w:val="53BF5C69"/>
    <w:rsid w:val="53DA0A43"/>
    <w:rsid w:val="55B865F8"/>
    <w:rsid w:val="575D4E2E"/>
    <w:rsid w:val="58035B31"/>
    <w:rsid w:val="58F6185E"/>
    <w:rsid w:val="591257DC"/>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ABD49CD"/>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4</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2019-06-11T04:57:47Z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