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国内水路运输管理条例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(2012年10月13日中华人民共和国国务院令第625号公布　根据2016年2月6日《国务院关于修改部分行政法规的决定》第一次修订　根据2017年3月1日《国务院关于修改和废止部分行政法规的决定》第二次修订)</w:t>
      </w:r>
    </w:p>
    <w:p>
      <w:pPr>
        <w:pStyle w:val="2"/>
        <w:jc w:val="center"/>
        <w:rPr>
          <w:rFonts w:ascii="方正黑体_GBK" w:eastAsia="方正黑体_GBK"/>
        </w:rPr>
      </w:pPr>
      <w:r>
        <w:rPr>
          <w:rFonts w:hint="eastAsia" w:ascii="方正黑体_GBK" w:hAnsi="Times New Roman" w:eastAsia="方正黑体_GBK" w:cs="Times New Roman"/>
        </w:rPr>
        <w:t>第一章　总</w:t>
      </w:r>
      <w:bookmarkStart w:id="0" w:name="_GoBack"/>
      <w:bookmarkEnd w:id="0"/>
      <w:r>
        <w:rPr>
          <w:rFonts w:hint="eastAsia" w:ascii="方正黑体_GBK" w:hAnsi="Times New Roman" w:eastAsia="方正黑体_GBK"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为了规范国内水路运输经营行为，维护国内水路运输市场秩序，保障国内水路运输安全，促进国内水路运输业健康发展，制定本条例。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经营国内水路运输以及水路运输辅助业务，应当遵守本条例。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本条例所称国内水路运输(以下简称水路运输)，是指始发港、挂靠港和目的港均在中华人民共和国管辖的通航水域内的经营性旅客运输和货物运输。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本条例所称水路运输辅助业务，是指直接为水路运输提供服务的船舶管理、船舶代理、水路旅客运输代理和水路货物运输代理等经营活动。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国家鼓励和保护水路运输市场的公平竞争，禁止垄断和不正当竞争行为。</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运用经济、技术政策等措施，支持和鼓励水路运输经营者实行规模化、集约化经营，促进水路运输行业结构调整；支持和鼓励水路运输经营者采用先进适用的水路运输设备和技术，保障运输安全，促进节约能源，减少污染物排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国家保护水路运输经营者、旅客和货主的合法权益。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国务院交通运输主管部门主管全国水路运输管理工作。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县级以上地方人民政府交通运输主管部门主管本行政区域的水路运输管理工作。县级以上地方人民政府负责水路运输管理的部门或者机构(以下统称负责水路运输管理的部门)承担本条例规定的水路运输管理工作。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经营水路运输及其辅助业务，应当遵守法律、法规，诚实守信。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国务院交通运输主管部门和负责水路运输管理的部门应当依法对水路运输市场实施监督管理，对水路运输及其辅助业务的违法经营活动实施处罚，并建立经营者诚信管理制度，及时向社会公告监督检查情况。</w:t>
      </w:r>
    </w:p>
    <w:p>
      <w:pPr>
        <w:pStyle w:val="2"/>
        <w:jc w:val="center"/>
        <w:rPr>
          <w:rFonts w:ascii="方正黑体_GBK" w:eastAsia="方正黑体_GBK"/>
        </w:rPr>
      </w:pPr>
      <w:r>
        <w:rPr>
          <w:rFonts w:hint="eastAsia" w:ascii="方正黑体_GBK" w:hAnsi="Times New Roman" w:eastAsia="方正黑体_GBK" w:cs="Times New Roman"/>
        </w:rPr>
        <w:t>第二章　水路运输经营者</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申请经营水路运输业务，除本条例第七条规定的情形外，申请人应当符合下列条件：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(一)取得企业法人资格；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(二)有符合本条例第十三条规定的船舶，并且自有船舶运力符合国务院交通运输主管部门的规定；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(三)有明确的经营范围，其中申请经营水路旅客班轮运输业务的，还应当有可行的航线营运计划；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(四)有与其申请的经营范围和船舶运力相适应的海务、机务管理人员；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(五)与其直接订立劳动合同的高级船员占全部船员的比例符合国务院交通运输主管部门的规定；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(六)有健全的安全管理制度；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(七)法律、行政法规规定的其他条件。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个人可以申请经营内河普通货物运输业务。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申请经营内河普通货物运输业务的个人，应当有符合本条例第十三条规定且船舶吨位不超过国务院交通运输主管部门规定的自有船舶，并应当符合本条例第六条第六项、第七项规定的条件。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经营水路运输业务，应当按照国务院交通运输主管部门的规定，经国务院交通运输主管部门或者设区的市级以上地方人民政府负责水路运输管理的部门批准。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申请经营水路运输业务，应当向前款规定的负责审批的部门提交申请书和证明申请人符合本条例第六条或者第七条规定条件的相关材料。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负责审批的部门应当自受理申请之日起30个工作日内审查完毕，作出准予许可或者不予许可的决定。予以许可的，发给水路运输业务经营许可证件，并为申请人投入运营的船舶配发船舶营运证件；不予许可的，应当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各级交通运输主管部门应当做好水路运输市场统计和调查分析工作，定期向社会公布水路运输市场运力供需状况。</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为保障水路运输安全，维护水路运输市场的公平竞争秩序，国务院交通运输主管部门可以根据水路运输市场监测情况，决定在特定的旅客班轮运输和散装液体危险货物运输航线、水域暂停新增运力许可。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采取前款规定的运力调控措施，应当符合公开、公平、公正的原则，在开始实施的60日前向社会公告，说明采取措施的理由以及采取措施的范围、期限等事项。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外国的企业、其他经济组织和个人不得经营水路运输业务，也不得以租用中国籍船舶或者舱位等方式变相经营水路运输业务。</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香港特别行政区、澳门特别行政区和台湾地区的企业、其他经济组织以及个人参照适用前款规定，国务院另有规定的除外。</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依照本条例取得许可的水路运输经营者终止经营的，应当自终止经营之日起15个工作日内向原许可机关办理注销许可手续，交回水路运输业务经营许可证件。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水路运输经营者投入运营的船舶应当符合下列条件：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(一)与经营者的经营范围相适应；</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(二)取得有效的船舶登记证书和检验证书；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(三)符合国务院交通运输主管部门关于船型技术标准和船龄的要求；</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水路运输经营者新增船舶投入运营的，应当凭水路运输业务经营许可证件、船舶登记证书和检验证书向国务院交通运输主管部门或者设区的市级以上地方人民政府负责水路运输管理的部门领取船舶营运证件。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从事水路运输经营的船舶应当随船携带船舶营运证件。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海事管理机构在现场监督检查时，发现从事水路运输的船舶不能提供有效的船舶营运证件的，应当通知有关主管部门依法处理。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国家根据保障运输安全、保护水环境、节约能源、提高航道和通航设施利用效率的需求，制定并实施新的船型技术标准时，对正在使用的不符合新标准但符合原有标准且未达到规定报废船龄的船舶，可以采取资金补贴等措施，引导、鼓励水路运输经营者进行更新、改造；需要强制提前报废的，应当对船舶所有人给予补偿。具体办法由国务院交通运输主管部门会同国务院财政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水路运输经营者不得使用外国籍船舶经营水路运输业务。但是，在国内没有能够满足所申请运输要求的中国籍船舶，并且船舶停靠的港口或者水域为对外开放的港口或者水域的情况下，经国务院交通运输主管部门许可，水路运输经营者可以在国务院交通运输主管部门规定的期限或者航次内，临时使用外国籍船舶运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在香港特别行政区、澳门特别行政区、台湾地区进行船籍登记的船舶，参照适用本条例关于外国籍船舶的规定，国务院另有规定的除外。</w:t>
      </w:r>
    </w:p>
    <w:p>
      <w:pPr>
        <w:pStyle w:val="2"/>
        <w:jc w:val="center"/>
        <w:rPr>
          <w:rFonts w:ascii="方正黑体_GBK" w:eastAsia="方正黑体_GBK"/>
        </w:rPr>
      </w:pPr>
      <w:r>
        <w:rPr>
          <w:rFonts w:hint="eastAsia" w:ascii="方正黑体_GBK" w:hAnsi="Times New Roman" w:eastAsia="方正黑体_GBK" w:cs="Times New Roman"/>
        </w:rPr>
        <w:t>第三章　水路运输经营活动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水路运输经营者应当在依法取得许可的经营范围内从事水路运输经营。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水路运输经营者应当使用符合本条例规定条件、配备合格船员的船舶，并保证船舶处于适航状态。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水路运输经营者应当按照船舶核定载客定额或者载重量载运旅客、货物，不得超载或者使用货船载运旅客。</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水路运输经营者应当依照法律、行政法规和国务院交通运输主管部门关于水路旅客、货物运输的规定、质量标准以及合同的约定，为旅客、货主提供安全、便捷、优质的服务，保证旅客、货物运输安全。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水路旅客运输业务经营者应当为其客运船舶投保承运人责任保险或者取得相应的财务担保。</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水路运输经营者运输危险货物，应当遵守法律、行政法规以及国务院交通运输主管部门关于危险货物运输的规定，使用依法取得危险货物适装证书的船舶，按照规定的安全技术规范进行配载和运输，保证运输安全。</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旅客班轮运输业务经营者应当自取得班轮航线经营许可之日起60日内开航，并在开航15日前公布所使用的船舶、班期、班次、运价等信息。</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旅客班轮运输应当按照公布的班期、班次运行；变更班期、班次、运价的，应当在15日前向社会公布；停止经营部分或者全部班轮航线的，应当在30日前向社会公布并报原许可机关备案。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货物班轮运输业务经营者应当在班轮航线开航的7日前，公布所使用的船舶以及班期、班次和运价。</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货物班轮运输应当按照公布的班期、班次运行；变更班期、班次、运价或者停止经营部分或者全部班轮航线的，应当在7日前向社会公布。</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水路运输经营者应当依照法律、行政法规和国家有关规定，优先运送处置突发事件所需的物资、设备、工具、应急救援人员和受到突发事件危害的人员，重点保障紧急、重要的军事运输。</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出现关系国计民生的紧急运输需求时，国务院交通运输主管部门按照国务院的部署，可以要求水路运输经营者优先运输需要紧急运输的物资。水路运输经营者应当按照要求及时运输。</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水路运输经营者应当按照统计法律、行政法规的规定报送统计信息。</w:t>
      </w:r>
    </w:p>
    <w:p>
      <w:pPr>
        <w:pStyle w:val="2"/>
        <w:jc w:val="center"/>
        <w:rPr>
          <w:rFonts w:ascii="方正黑体_GBK" w:eastAsia="方正黑体_GBK"/>
        </w:rPr>
      </w:pPr>
      <w:r>
        <w:rPr>
          <w:rFonts w:hint="eastAsia" w:ascii="方正黑体_GBK" w:hAnsi="Times New Roman" w:eastAsia="方正黑体_GBK" w:cs="Times New Roman"/>
        </w:rPr>
        <w:t>第四章　水路运输辅助业务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运输船舶的所有人、经营人可以委托船舶管理业务经营者为其提供船舶海务、机务管理等服务。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申请经营船舶管理业务，申请人应当符合下列条件：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(一)取得企业法人资格；</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(二)有健全的安全管理制度；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(三)有与其申请管理的船舶运力相适应的海务、机务管理人员；</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(四)法律、行政法规规定的其他条件。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经营船舶管理业务，应当经设区的市级以上地方人民政府负责水路运输管理的部门批准。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申请经营船舶管理业务，应当向前款规定的部门提交申请书和证明申请人符合本条例第二十六条规定条件的相关材料。</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受理申请的部门应当自受理申请之日起30个工作日内审查完毕，作出准予许可或者不予许可的决定。予以许可的，发给船舶管理业务经营许可证件，并向国务院交通运输主管部门备案；不予许可的，应当书面通知申请人并说明理由。</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船舶管理业务经营者接受委托提供船舶管理服务，应当与委托人订立书面合同，并将合同报所在地海事管理机构备案。</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船舶管理业务经营者应当按照国家有关规定和合同约定履行有关船舶安全和防止污染的管理义务。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水路运输经营者可以委托船舶代理、水路旅客运输代理、水路货物运输代理业务的经营者，代办船舶进出港手续等港口业务，代为签订运输合同，代办旅客、货物承揽业务以及其他水路运输代理业务。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船舶代理、水路旅客运输代理业务的经营者应当自企业设立登记之日起15个工作日内，向所在地设区的市级人民政府负责水路运输管理的部门备案。</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船舶代理、水路旅客运输代理、水路货物运输代理业务的经营者接受委托提供代理服务，应当与委托人订立书面合同，按照国家有关规定和合同约定办理代理业务，不得强行代理，不得为未依法取得水路运输业务经营许可或者超越许可范围的经营者办理代理业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本条例第十二条、第十七条的规定适用于船舶管理业务经营者。本条例第十一条、第二十四条的规定适用于船舶管理、船舶代理、水路旅客运输代理和水路货物运输代理业务经营活动。</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国务院交通运输主管部门应当依照本条例的规定制定水路运输辅助业务的具体管理办法。</w:t>
      </w:r>
    </w:p>
    <w:p>
      <w:pPr>
        <w:pStyle w:val="2"/>
        <w:jc w:val="center"/>
        <w:rPr>
          <w:rFonts w:ascii="方正黑体_GBK" w:eastAsia="方正黑体_GBK"/>
        </w:rPr>
      </w:pPr>
      <w:r>
        <w:rPr>
          <w:rFonts w:hint="eastAsia" w:ascii="方正黑体_GBK" w:hAnsi="Times New Roman" w:eastAsia="方正黑体_GBK" w:cs="Times New Roman"/>
        </w:rPr>
        <w:t>第五章　法律责任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未经许可擅自经营或者超越许可范围经营水路运输业务或者国内船舶管理业务的，由负责水路运输管理的部门责令停止经营，没收违法所得，并处违法所得1倍以上5倍以下的罚款；没有违法所得或者违法所得不足3万元的，处3万元以上15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水路运输经营者使用未取得船舶营运证件的船舶从事水路运输的，由负责水路运输管理的部门责令该船停止经营，没收违法所得，并处违法所得1倍以上5倍以下的罚款；没有违法所得或者违法所得不足2万元的，处2万元以上10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从事水路运输经营的船舶未随船携带船舶营运证件的，责令改正，可以处1000元以下的罚款。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水路运输经营者未经国务院交通运输主管部门许可或者超越许可范围使用外国籍船舶经营水路运输业务，或者外国的企业、其他经济组织和个人经营或者以租用中国籍船舶或者舱位等方式变相经营水路运输业务的，由负责水路运输管理的部门责令停止经营，没收违法所得，并处违法所得1倍以上5倍以下的罚款；没有违法所得或者违法所得不足20万元的，处20万元以上100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以欺骗或者贿赂等不正当手段取得本条例规定的行政许可的，由原许可机关撤销许可，处2万元以上20万元以下的罚款；有违法所得的，没收违法所得；国务院交通运输主管部门或者负责水路运输管理的部门自撤销许可之日起3年内不受理其对该项许可的申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出租、出借、倒卖本条例规定的行政许可证件或者以其他方式非法转让本条例规定的行政许可的，由负责水路运输管理的部门责令改正，没收违法所得，并处违法所得1倍以上5倍以下的罚款；没有违法所得或者违法所得不足3万元的，处3万元以上15万元以下的罚款；情节严重的，由原许可机关吊销相应的许可证件。</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伪造、变造、涂改本条例规定的行政许可证件的，由负责水路运输管理的部门没收伪造、变造、涂改的许可证件，处3万元以上15万元以下的罚款；有违法所得的，没收违法所得。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水路运输经营者有下列情形之一的，由海事管理机构依法予以处罚：</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(一)未按照规定配备船员或者未使船舶处于适航状态；</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(二)超越船舶核定载客定额或者核定载重量载运旅客或者货物；</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(三)使用货船载运旅客；</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(四)使用未取得危险货物适装证书的船舶运输危险货物。</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水路旅客运输业务经营者未为其经营的客运船舶投保承运人责任保险或者取得相应的财务担保的，由负责水路运输管理的部门责令限期改正，处2万元以上10万元以下的罚款；逾期不改正的，由原许可机关吊销该客运船舶的船舶营运许可证件。</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班轮运输业务经营者未提前向社会公布所使用的船舶、班期、班次和运价或者其变更信息的，由负责水路运输管理的部门责令改正，处2000元以上2万元以下的罚款。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旅客班轮运输业务经营者自取得班轮航线经营许可之日起60日内未开航的，由负责水路运输管理的部门责令改正；拒不改正的，由原许可机关撤销该项经营许可。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水路运输、船舶管理业务经营者取得许可后，不再具备本条例规定的许可条件的，由负责水路运输管理的部门责令限期整改；在规定期限内整改仍不合格的，由原许可机关撤销其经营许可。</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负责水路运输管理的国家工作人员在水路运输管理活动中滥用职权、玩忽职守、徇私舞弊，不依法履行职责的，依法给予处分。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　</w:t>
      </w:r>
      <w:r>
        <w:rPr>
          <w:rFonts w:ascii="Times New Roman" w:hAnsi="Times New Roman" w:eastAsia="仿宋_GB2312" w:cs="Times New Roman"/>
          <w:sz w:val="32"/>
          <w:szCs w:val="32"/>
        </w:rPr>
        <w:t>违反本条例规定，构成违反治安管理行为的，依法给予治安管理处罚；构成犯罪的，依法追究刑事责任。</w:t>
      </w:r>
    </w:p>
    <w:p>
      <w:pPr>
        <w:pStyle w:val="2"/>
        <w:jc w:val="center"/>
        <w:rPr>
          <w:rFonts w:ascii="方正黑体_GBK" w:eastAsia="方正黑体_GBK"/>
        </w:rPr>
      </w:pPr>
      <w:r>
        <w:rPr>
          <w:rFonts w:hint="eastAsia" w:ascii="方正黑体_GBK" w:hAnsi="Times New Roman" w:eastAsia="方正黑体_GBK" w:cs="Times New Roman"/>
        </w:rPr>
        <w:t>第六章　附则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　</w:t>
      </w:r>
      <w:r>
        <w:rPr>
          <w:rFonts w:ascii="Times New Roman" w:hAnsi="Times New Roman" w:eastAsia="仿宋_GB2312" w:cs="Times New Roman"/>
          <w:sz w:val="32"/>
          <w:szCs w:val="32"/>
        </w:rPr>
        <w:t>载客12人以下的客运船舶以及乡、镇客运渡船运输的管理办法，由省、自治区、直辖市人民政府另行制定。</w:t>
      </w:r>
    </w:p>
    <w:p>
      <w:pPr>
        <w:ind w:firstLine="640" w:firstLineChars="200"/>
      </w:pPr>
      <w:r>
        <w:rPr>
          <w:rFonts w:ascii="Times New Roman" w:hAnsi="Times New Roman" w:eastAsia="黑体" w:cs="Times New Roman"/>
          <w:sz w:val="32"/>
          <w:szCs w:val="32"/>
        </w:rPr>
        <w:t>第四十六条　</w:t>
      </w:r>
      <w:r>
        <w:rPr>
          <w:rFonts w:ascii="Times New Roman" w:hAnsi="Times New Roman" w:eastAsia="仿宋_GB2312" w:cs="Times New Roman"/>
          <w:sz w:val="32"/>
          <w:szCs w:val="32"/>
        </w:rPr>
        <w:t>本条例自2013年1月1日起施行。1987年5月12日国务院发布的《中华人民共和国水路运输管理条例》同时废止。</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2ECD19C6"/>
    <w:rsid w:val="00435339"/>
    <w:rsid w:val="009C712F"/>
    <w:rsid w:val="00DC464A"/>
    <w:rsid w:val="15CF1A86"/>
    <w:rsid w:val="2C1154DC"/>
    <w:rsid w:val="2ECD19C6"/>
    <w:rsid w:val="3C6E0CA9"/>
    <w:rsid w:val="43C22173"/>
    <w:rsid w:val="4A4E00AF"/>
    <w:rsid w:val="709D3C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7">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874</Words>
  <Characters>4984</Characters>
  <Lines>41</Lines>
  <Paragraphs>11</Paragraphs>
  <TotalTime>0</TotalTime>
  <ScaleCrop>false</ScaleCrop>
  <LinksUpToDate>false</LinksUpToDate>
  <CharactersWithSpaces>5847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2019-05-22T15:10:00Z</dcterms:created>
  <dc:creator>Administrator</dc:creator>
  <cp:lastModifiedBy>Administrator</cp:lastModifiedBy>
  <cp:lastPrinted>2019-05-25T02:29:00Z</cp:lastPrinted>
  <dcterms:modified xsi:type="dcterms:W3CDTF">2019-07-05T07:29:24Z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