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国内水路运输管理条例</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0"/>
          <w:kern w:val="2"/>
          <w:sz w:val="32"/>
          <w:szCs w:val="32"/>
          <w:shd w:val="clear" w:color="auto" w:fill="FFFFFF"/>
          <w:lang w:val="en-US" w:eastAsia="zh-CN" w:bidi="ar-SA"/>
        </w:rPr>
      </w:pPr>
      <w:r>
        <w:rPr>
          <w:rFonts w:hint="eastAsia" w:ascii="楷体_GB2312" w:hAnsi="楷体_GB2312" w:eastAsia="楷体_GB2312" w:cs="楷体_GB2312"/>
          <w:bCs/>
          <w:spacing w:val="0"/>
          <w:kern w:val="2"/>
          <w:sz w:val="32"/>
          <w:szCs w:val="32"/>
          <w:shd w:val="clear" w:color="auto" w:fill="FFFFFF"/>
          <w:lang w:val="en-US" w:eastAsia="zh-CN" w:bidi="ar-SA"/>
        </w:rPr>
        <w:t>（</w:t>
      </w:r>
      <w:r>
        <w:rPr>
          <w:rFonts w:hint="default" w:ascii="Times New Roman" w:hAnsi="Times New Roman" w:eastAsia="楷体_GB2312" w:cs="Times New Roman"/>
          <w:bCs/>
          <w:spacing w:val="0"/>
          <w:kern w:val="2"/>
          <w:sz w:val="32"/>
          <w:szCs w:val="32"/>
          <w:shd w:val="clear" w:color="auto" w:fill="FFFFFF"/>
          <w:lang w:val="en-US" w:eastAsia="zh-CN" w:bidi="ar-SA"/>
        </w:rPr>
        <w:t>2012年10月13日中华人民共和国国务院令第625号公布　根据2016年2月6日《国务院关于修改部分行政法规的决定》第一次修订　根据2017年3月1日《国务院关于修改和废止部分行政法规的决定》第二次修订　根据2023年7月20日《国务院关于修改和废止部分行政法规的决定》第三次修订</w:t>
      </w:r>
      <w:r>
        <w:rPr>
          <w:rFonts w:hint="eastAsia" w:ascii="楷体_GB2312" w:hAnsi="楷体_GB2312" w:eastAsia="楷体_GB2312" w:cs="楷体_GB2312"/>
          <w:bCs/>
          <w:spacing w:val="0"/>
          <w:kern w:val="2"/>
          <w:sz w:val="32"/>
          <w:szCs w:val="32"/>
          <w:shd w:val="clear" w:color="auto" w:fill="FFFFFF"/>
          <w:lang w:val="en-US" w:eastAsia="zh-CN" w:bidi="ar-SA"/>
        </w:rPr>
        <w:t>）</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为了规范国内水路运输经营行为，维护国内水路运输市场秩序，保障国内水路运输安全，促进国内水路运输业健康发展，制定本条例。</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经营国内水路运输以及水路运输辅助业务，应当遵守本条例。</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本条例所称国内水路运输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以下简称水路运输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，是指始发港、挂靠港和目的港均在中华人民共和国管辖的通航水域内的经营性旅客运输和货物运输。</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本条例所称水路运输辅助业务，是指直接为水路运输提供服务的船舶管理、船舶代理、水路旅客运输代理和水路货物运输代理等经营活动。</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国家鼓励和保护水路运输市场的公平竞争，禁止垄断和不正当竞争行为。</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运用经济、技术政策等措施，支持和鼓励水路运输经营者实行规模化、集约化经营，促进水路运输行业结构调整；支持和鼓励水路运输经营者采用先进适用的水路运输设备和技术，保障运输安全，促进节约能源，减少污染物排放。</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国家保护水路运输经营者、旅客和货主的合法权益。</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国务院交通运输主管部门主管全国水路运输管理工作。</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县级以上地方人民政府交通运输主管部门主管本行政区域的水路运输管理工作。县级以上地方人民政府负责水路运输管理的部门或者机构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以下统称负责水路运输管理的部门</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承担本条例规定的水路运输管理工作。</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经营水路运输及其辅助业务，应当遵守法律、法规，诚实守信。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国务院交通运输主管部门和负责水路运输管理的部门应当依法对水路运输市场实施监督管理，对水路运输及其辅助业务的违法经营活动实施处罚，并建立经营者诚信管理制度，及时向社会公告监督检查情况。</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水路运输经营者</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申请经营水路运输业务，除本条例第七条规定的情形外，申请人应当符合下列条件：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取得企业法人资格；</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有符合本条例第十三条规定的船舶，并且自有船舶运力符合国务院交通运输主管部门的规定；</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有明确的经营范围，其中申请经营水路旅客班轮运输业务的，还应当有可行的航线营运计划；</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有与其申请的经营范围和船舶运力相适应的海务、机务管理人员；</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与其直接订立劳动合同的高级船员占全部船员的比例符合国务院交通运输主管部门的规定；</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有健全的安全管理制度；</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法律、行政法规规定的其他条件。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个人可以申请经营内河普通货物运输业务。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申请经营内河普通货物运输业务的个人，应当有符合本条例第十三条规定且船舶吨位不超过国务院交通运输主管部门规定的自有船舶，并应当符合本条例第六条第六项、第七项规定的条件。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经营水路运输业务，应当按照国务院交通运输主管部门的规定，经国务院交通运输主管部门或者设区的市级以上地方人民政府负责水路运输管理的部门批准。</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申请经营水路运输业务，应当向前款规定的负责审批的部门提交申请书和证明申请人符合本条例第六条或者第七条规定条件的相关材料。</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审批的部门应当自受理申请之日起30个工作日内审查完毕，作出准予许可或者不予许可的决定。予以许可的，发给水路运输业务经营许可证件，并为申请人投入运营的船舶配发船舶营运证件；不予许可的，应当书面通知申请人并说明理由。</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各级交通运输主管部门应当做好水路运输市场统计和调查分析工作，定期向社会公布水路运输市场运力供需状况。</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为保障水路运输安全，维护水路运输市场的公平竞争秩序，国务院交通运输主管部门可以根据水路运输市场监测情况，决定在特定的旅客班轮运输和散装液体危险货物运输航线、水域暂停新增运力许可。</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采取前款规定的运力调控措施，应当符合公开、公平、公正的原则，在开始实施的</w:t>
      </w:r>
      <w:r>
        <w:rPr>
          <w:rFonts w:hint="default" w:ascii="Times New Roman" w:hAnsi="Times New Roman" w:eastAsia="仿宋_GB2312" w:cs="Times New Roman"/>
          <w:sz w:val="32"/>
          <w:szCs w:val="32"/>
        </w:rPr>
        <w:t>60日</w:t>
      </w:r>
      <w:r>
        <w:rPr>
          <w:rFonts w:hint="eastAsia" w:ascii="仿宋_GB2312" w:hAnsi="仿宋_GB2312" w:eastAsia="仿宋_GB2312" w:cs="仿宋_GB2312"/>
          <w:sz w:val="32"/>
          <w:szCs w:val="32"/>
        </w:rPr>
        <w:t>前向社会公告，说明采取措施的理由以及采取措施的范围、期限等事项。</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外国的企业、其他经济组织和个人不得经营水路运输业务，也不得以租用中国籍船舶或者舱位等方式变相经营水路运输业务。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香港特别行政区、澳门特别行政区和台湾地区的企业、其他经济组织以及个人参照适用前款规定，国务院另有规定的除外。</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依照本条例取得许可的水路运输经营者终止经营的，应当自终止经营之</w:t>
      </w:r>
      <w:r>
        <w:rPr>
          <w:rFonts w:hint="default" w:ascii="Times New Roman" w:hAnsi="Times New Roman" w:eastAsia="仿宋_GB2312" w:cs="Times New Roman"/>
          <w:sz w:val="32"/>
          <w:szCs w:val="32"/>
        </w:rPr>
        <w:t>日起15个</w:t>
      </w:r>
      <w:r>
        <w:rPr>
          <w:rFonts w:hint="eastAsia" w:ascii="仿宋_GB2312" w:hAnsi="仿宋_GB2312" w:eastAsia="仿宋_GB2312" w:cs="仿宋_GB2312"/>
          <w:sz w:val="32"/>
          <w:szCs w:val="32"/>
        </w:rPr>
        <w:t>工作日内向原许可机关办理注销许可手续，交回水路运输业务经营许可证件。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水路运输经营者投入运营的船舶应当符合下列条件：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与经营者的经营范围相适应；</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取得有效的船舶登记证书和检验证书；</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符合国务院交通运输主管部门关于船型技术标准和船龄的要求；</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法律、行政法规规定的其他条件。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水路运输经营者新增船舶投入运营的，应当凭水路运输业务经营许可证件、船舶登记证书和检验证书向国务院交通运输主管部门或者设区的市级以上地方人民政府负责水路运输管理的部门领取船舶营运证件。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从事水路运输经营的船舶应当随船携带船舶营运证件。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海事管理机构在现场监督检查时，发现从事水路运输的船舶不能提供有效的船舶营运证件的，应当通知有关主管部门依法处理。</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国家根据保障运输安全、保护水环境、节约能源、提高航道和通航设施利用效率的需求，制定并实施新的船型技术标准时，对正在使用的不符合新标准但符合原有标准且未达到规定报废船龄的船舶，可以采取资金补贴等措施，引导、鼓励水路运输经营者进行更新、改造；需要强制提前报废的，应当对船舶所有人给予补偿。具体办法由国务院交通运输主管部门会同国务院财政部门制定。</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水路运输经营者不得使用外国籍船舶经营水路运输业务。但是，在国内没有能够满足所申请运输要求的中国籍船舶，并且船舶停靠的港口或者水域为对外开放的港口或者水域的情况下，经国务院交通运输主管部门许可，水路运输经营者可以在国务院交通运输主管部门规定的期限或者航次内，临时使用外国籍船舶运输。</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在香港特别行政区、澳门特别行政区、台湾地区进行船籍登记的船舶，参照适用本条例关于外国籍船舶的规定，国务院另有规定的除外。</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水路运输经营活动</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水路运输经营者应当在依法取得许可的经营范围内从事水路运输经营。</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水路运输经营者应当使用符合本条例规定条件、配备合格船员的船舶，并保证船舶处于适航状态。</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水路运输经营者应当按照船舶核定载客定额或者载重量载运旅客、货物，不得超载或者使用货船载运旅客。</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水路运输经营者应当依照法律、行政法规和国务院交通运输主管部门关于水路旅客、货物运输的规定、质量标准以及合同的约定，为旅客、货主提供安全、便捷、优质的服务，保证旅客、货物运输安全。</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水路旅客运输业务经营者应当为其客运船舶投保承运人责任保险或者取得相应的财务担保。</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水路运输经营者运输危险货物，应当遵守法律、行政法规以及国务院交通运输主管部门关于危险货物运输的规定，使用依法取得危险货物适装证书的船舶，按照规定的安全技术规范进行配载和运输，保证运输安全。</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旅客班轮运输业务经营者应当自取得班轮航线经营许可之日起</w:t>
      </w:r>
      <w:r>
        <w:rPr>
          <w:rFonts w:hint="default" w:ascii="Times New Roman" w:hAnsi="Times New Roman" w:eastAsia="仿宋_GB2312" w:cs="Times New Roman"/>
          <w:sz w:val="32"/>
          <w:szCs w:val="32"/>
        </w:rPr>
        <w:t>60日内开航，并在开航15日前</w:t>
      </w:r>
      <w:r>
        <w:rPr>
          <w:rFonts w:hint="eastAsia" w:ascii="仿宋_GB2312" w:hAnsi="仿宋_GB2312" w:eastAsia="仿宋_GB2312" w:cs="仿宋_GB2312"/>
          <w:sz w:val="32"/>
          <w:szCs w:val="32"/>
        </w:rPr>
        <w:t>公布所使用的船舶、班期、班次、运价等信息。</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旅客班轮运输应当按照公布的班期、班次运行；变更班期、班次、运价的，应当</w:t>
      </w:r>
      <w:r>
        <w:rPr>
          <w:rFonts w:hint="default" w:ascii="Times New Roman" w:hAnsi="Times New Roman" w:eastAsia="仿宋_GB2312" w:cs="Times New Roman"/>
          <w:sz w:val="32"/>
          <w:szCs w:val="32"/>
        </w:rPr>
        <w:t>在15日前向社会公布；停止经营部分或者全部班轮航线的，应当在30日</w:t>
      </w:r>
      <w:r>
        <w:rPr>
          <w:rFonts w:hint="eastAsia" w:ascii="仿宋_GB2312" w:hAnsi="仿宋_GB2312" w:eastAsia="仿宋_GB2312" w:cs="仿宋_GB2312"/>
          <w:sz w:val="32"/>
          <w:szCs w:val="32"/>
        </w:rPr>
        <w:t>前向社会公布并报原许可机关备案。</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货物班轮运输业务经营者应当在班轮航线开航的7日前，公布所使用的船舶以及班期、班次和运价。</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货物班轮运输应当按照公布的班期、班次运行；变更班期、班次、运价或者停止经营部分或者全部班轮航线的，应当</w:t>
      </w:r>
      <w:r>
        <w:rPr>
          <w:rFonts w:hint="default" w:ascii="Times New Roman" w:hAnsi="Times New Roman" w:eastAsia="仿宋_GB2312" w:cs="Times New Roman"/>
          <w:sz w:val="32"/>
          <w:szCs w:val="32"/>
        </w:rPr>
        <w:t>在7日</w:t>
      </w:r>
      <w:r>
        <w:rPr>
          <w:rFonts w:hint="eastAsia" w:ascii="仿宋_GB2312" w:hAnsi="仿宋_GB2312" w:eastAsia="仿宋_GB2312" w:cs="仿宋_GB2312"/>
          <w:sz w:val="32"/>
          <w:szCs w:val="32"/>
        </w:rPr>
        <w:t>前向社会公布。</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水路运输经营者应当依照法律、行政法规和国家有关规定，优先运送处置突发事件所需的物资、设备、工具、应急救援人员和受到突发事件危害的人员，重点保障紧急、重要的军事运输。</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出现关系国计民生的紧急运输需求时，国务院交通运输主管部门按照国务院的部署，可以要求水路运输经营者优先运输需要紧急运输的物资。水路运输经营者应当按照要求及时运输。</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水路运输经营者应当按照统计法律、行政法规的规定报送统计信息。</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水路运输辅助业务</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运输船舶的所有人、经营人可以委托船舶管理业务经营者为其提供船舶海务、机务管理等服务。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申请经营船舶管理业务，申请人应当符合下列条件：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取得企业法人资格；</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有健全的安全管理制度；</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有与其申请管理的船舶运力相适应的海务、机务管理人员；</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法律、行政法规规定的其他条件。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经营船舶管理业务，应当经设区的市级以上地方人民政府负责水路运输管理的部门批准。</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申请经营船舶管理业务，应当向前款规定的部门提交申请书和证明申请人符合本条例第二十六条规定条件的相关材料。</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受理申请的部门应当自受理申请之</w:t>
      </w:r>
      <w:r>
        <w:rPr>
          <w:rFonts w:hint="default" w:ascii="Times New Roman" w:hAnsi="Times New Roman" w:eastAsia="仿宋_GB2312" w:cs="Times New Roman"/>
          <w:sz w:val="32"/>
          <w:szCs w:val="32"/>
        </w:rPr>
        <w:t>日起30个工作日内审查完毕，作出准予许可或者不予许可的决定。予</w:t>
      </w:r>
      <w:r>
        <w:rPr>
          <w:rFonts w:hint="eastAsia" w:ascii="仿宋_GB2312" w:hAnsi="仿宋_GB2312" w:eastAsia="仿宋_GB2312" w:cs="仿宋_GB2312"/>
          <w:sz w:val="32"/>
          <w:szCs w:val="32"/>
        </w:rPr>
        <w:t>以许可的，发给船舶管理业务经营许可证件，并向国务院交通运输主管部门备案；不予许可的，应当书面通知申请人并说明理由。</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船舶管理业务经营者接受委托提供船舶管理服务，应当与委托人订立书面合同，并将合同报所在地海事管理机构备案。</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船舶管理业务经营者应当按照国家有关规定和合同约定履行有关船舶安全和防止污染的管理义务。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水路运输经营者可以委托船舶代理、水路旅客运输代理、水路货物运输代理业务的经营者，代办船舶进出港手续等港口业务，代为签订运输合同，代办旅客、货物承揽业务以及其他水路运输代理业务。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船舶代理、水路旅客运输代理业务的经营者应当自企业设立登记之</w:t>
      </w:r>
      <w:r>
        <w:rPr>
          <w:rFonts w:hint="default" w:ascii="Times New Roman" w:hAnsi="Times New Roman" w:eastAsia="仿宋_GB2312" w:cs="Times New Roman"/>
          <w:sz w:val="32"/>
          <w:szCs w:val="32"/>
        </w:rPr>
        <w:t>日起15个</w:t>
      </w:r>
      <w:r>
        <w:rPr>
          <w:rFonts w:hint="eastAsia" w:ascii="仿宋_GB2312" w:hAnsi="仿宋_GB2312" w:eastAsia="仿宋_GB2312" w:cs="仿宋_GB2312"/>
          <w:sz w:val="32"/>
          <w:szCs w:val="32"/>
        </w:rPr>
        <w:t>工作日内，向所在地设区的市级人民政府负责水路运输管理的部门备案。</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船舶代理、水路旅客运输代理、水路货物运输代理业务的经营者接受委托提供代理服务，应当与委托人订立书面合同，按照国家有关规定和合同约定办理代理业务，不得强行代理，不得为未依法取得水路运输业务经营许可或者超越许可范围的经营者办理代理业务。</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本条例第十二条、第十七条的规定适用于船舶管理业务经营者。本条例第十一条、第二十四条的规定适用于船舶管理、船舶代理、水路旅客运输代理和水路货物运输代理业务经营活动。</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国务院交通运输主管部门应当依照本条例的规定制定水路运输辅助业务的具体管理办法。</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法律责任</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eastAsia="zh-CN"/>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未经许可擅自经营或者超越许可范围经营水路运输业务或者国内船舶管理业务的，由负责水路运输管理的部门责令停止经营，没收违法所得，并处违法所得</w:t>
      </w:r>
      <w:r>
        <w:rPr>
          <w:rFonts w:hint="default" w:ascii="Times New Roman" w:hAnsi="Times New Roman" w:eastAsia="仿宋_GB2312" w:cs="Times New Roman"/>
          <w:sz w:val="32"/>
          <w:szCs w:val="32"/>
        </w:rPr>
        <w:t>1倍以上5倍以下的罚款；没有违法所得或者违法所得不足3万元的，处3</w:t>
      </w:r>
      <w:r>
        <w:rPr>
          <w:rFonts w:hint="eastAsia" w:ascii="仿宋_GB2312" w:hAnsi="仿宋_GB2312" w:eastAsia="仿宋_GB2312" w:cs="仿宋_GB2312"/>
          <w:sz w:val="32"/>
          <w:szCs w:val="32"/>
        </w:rPr>
        <w:t>万元以上</w:t>
      </w:r>
      <w:r>
        <w:rPr>
          <w:rFonts w:hint="default" w:ascii="Times New Roman" w:hAnsi="Times New Roman" w:eastAsia="仿宋_GB2312" w:cs="Times New Roman"/>
          <w:sz w:val="32"/>
          <w:szCs w:val="32"/>
        </w:rPr>
        <w:t>15万元</w:t>
      </w:r>
      <w:r>
        <w:rPr>
          <w:rFonts w:hint="eastAsia" w:ascii="仿宋_GB2312" w:hAnsi="仿宋_GB2312" w:eastAsia="仿宋_GB2312" w:cs="仿宋_GB2312"/>
          <w:sz w:val="32"/>
          <w:szCs w:val="32"/>
        </w:rPr>
        <w:t>以下的罚款。</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水路运输经营者使用未取得船舶营运证件的船舶从事水路运输的，由负责水路运输管理的部门责令该船停止经营，没收违法所得，并处违法</w:t>
      </w:r>
      <w:r>
        <w:rPr>
          <w:rFonts w:hint="default" w:ascii="Times New Roman" w:hAnsi="Times New Roman" w:eastAsia="仿宋_GB2312" w:cs="Times New Roman"/>
          <w:sz w:val="32"/>
          <w:szCs w:val="32"/>
        </w:rPr>
        <w:t>所得1倍以上5倍以下的罚款；没有违法所得或者违法所得不足2万元的，处2万元以上10万</w:t>
      </w:r>
      <w:r>
        <w:rPr>
          <w:rFonts w:hint="eastAsia" w:ascii="仿宋_GB2312" w:hAnsi="仿宋_GB2312" w:eastAsia="仿宋_GB2312" w:cs="仿宋_GB2312"/>
          <w:sz w:val="32"/>
          <w:szCs w:val="32"/>
        </w:rPr>
        <w:t>元以下的罚款。</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经营者未经国务院交通运输主管部门许可或者超越许可范围使用外国籍船舶经营水路运输业务，或者外国的企业、其他经济组织和个人经营或者以租用中国籍船舶或者舱位等方式变相经营水路运输业务的，由负责水路运输管理的部门责令停止经营，没收违法所得，并处违法</w:t>
      </w:r>
      <w:r>
        <w:rPr>
          <w:rFonts w:hint="default" w:ascii="Times New Roman" w:hAnsi="Times New Roman" w:eastAsia="仿宋_GB2312" w:cs="Times New Roman"/>
          <w:sz w:val="32"/>
          <w:szCs w:val="32"/>
        </w:rPr>
        <w:t>所得1倍以上5倍以下的罚款；没有违法所得或者违法所得不足20万元的，处20万元以上100万</w:t>
      </w:r>
      <w:r>
        <w:rPr>
          <w:rFonts w:hint="eastAsia" w:ascii="仿宋_GB2312" w:hAnsi="仿宋_GB2312" w:eastAsia="仿宋_GB2312" w:cs="仿宋_GB2312"/>
          <w:sz w:val="32"/>
          <w:szCs w:val="32"/>
        </w:rPr>
        <w:t>元以下的罚款。</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以欺骗或者贿赂等不正当手段取得本条例规定的行政许可的，由原许可机关撤销许可，处</w:t>
      </w:r>
      <w:r>
        <w:rPr>
          <w:rFonts w:hint="default" w:ascii="Times New Roman" w:hAnsi="Times New Roman" w:eastAsia="仿宋_GB2312" w:cs="Times New Roman"/>
          <w:sz w:val="32"/>
          <w:szCs w:val="32"/>
        </w:rPr>
        <w:t>2万元以上20万元以下的罚款；有违法所得的，没收违法所得；国务院交通运输主管部门或者负责水路运输管理的部门自撤销许可之日起3年</w:t>
      </w:r>
      <w:r>
        <w:rPr>
          <w:rFonts w:hint="eastAsia" w:ascii="仿宋_GB2312" w:hAnsi="仿宋_GB2312" w:eastAsia="仿宋_GB2312" w:cs="仿宋_GB2312"/>
          <w:sz w:val="32"/>
          <w:szCs w:val="32"/>
        </w:rPr>
        <w:t>内不受理其对该项许可的申请。</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出租、出借、倒卖本条例规定的行政许可证件或者以其他方式非法转让本条例规定的行政许可的，由负责水路运输管理的部门责令改正，没收违法所得，并</w:t>
      </w:r>
      <w:r>
        <w:rPr>
          <w:rFonts w:hint="default" w:ascii="Times New Roman" w:hAnsi="Times New Roman" w:eastAsia="仿宋_GB2312" w:cs="Times New Roman"/>
          <w:sz w:val="32"/>
          <w:szCs w:val="32"/>
        </w:rPr>
        <w:t>处违法所得1倍以上5倍以下的罚款；没有违法所得或者违法所得不足3万元的，处3万元以上15万</w:t>
      </w:r>
      <w:r>
        <w:rPr>
          <w:rFonts w:hint="eastAsia" w:ascii="仿宋_GB2312" w:hAnsi="仿宋_GB2312" w:eastAsia="仿宋_GB2312" w:cs="仿宋_GB2312"/>
          <w:sz w:val="32"/>
          <w:szCs w:val="32"/>
        </w:rPr>
        <w:t>元以下的罚款；情节严重的，由原许可机关吊销相应的许可证件。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伪造、变造、涂改本条例规定的行政许可证件的，由负责水路运输管理的部门没收伪造、变造、涂改的许可证件，</w:t>
      </w:r>
      <w:r>
        <w:rPr>
          <w:rFonts w:hint="default" w:ascii="Times New Roman" w:hAnsi="Times New Roman" w:eastAsia="仿宋_GB2312" w:cs="Times New Roman"/>
          <w:sz w:val="32"/>
          <w:szCs w:val="32"/>
        </w:rPr>
        <w:t>处3万元以上15万元以下的罚</w:t>
      </w:r>
      <w:r>
        <w:rPr>
          <w:rFonts w:hint="eastAsia" w:ascii="仿宋_GB2312" w:hAnsi="仿宋_GB2312" w:eastAsia="仿宋_GB2312" w:cs="仿宋_GB2312"/>
          <w:sz w:val="32"/>
          <w:szCs w:val="32"/>
        </w:rPr>
        <w:t>款；有违法所得的，没收违法所得。</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水路运输经营者有下列情形之一的，由海事管理机构依法予以处罚：</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未按照规定配备船员或者未使船舶处于适航状态；</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超越船舶核定载客定额或者核定载重量载运旅客或者货物；</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使用货船载运旅客；</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使用未取得危险货物适装证书的船舶运输危险货物。</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w:t>
      </w:r>
      <w:bookmarkStart w:id="0" w:name="_GoBack"/>
      <w:bookmarkEnd w:id="0"/>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水路旅客运输业务经营者未为其经营的客运船舶投保承运人责任保险或</w:t>
      </w:r>
      <w:r>
        <w:rPr>
          <w:rFonts w:hint="default" w:ascii="Times New Roman" w:hAnsi="Times New Roman" w:eastAsia="仿宋_GB2312" w:cs="Times New Roman"/>
          <w:sz w:val="32"/>
          <w:szCs w:val="32"/>
        </w:rPr>
        <w:t>者取得相应的财务担保的，由负责水路运输管理的部门责令限期改正，处2万元以上10万元以</w:t>
      </w:r>
      <w:r>
        <w:rPr>
          <w:rFonts w:hint="eastAsia" w:ascii="仿宋_GB2312" w:hAnsi="仿宋_GB2312" w:eastAsia="仿宋_GB2312" w:cs="仿宋_GB2312"/>
          <w:sz w:val="32"/>
          <w:szCs w:val="32"/>
        </w:rPr>
        <w:t>下的罚款；逾期不改正的，由原许可机关吊销该客运船舶的船舶营运许可证件。</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班轮运输业务经营者未提前向社会公布所使用的船舶、班期、班次和运价或者其变更信息的，由负责水路运输管理的部门责令改正，</w:t>
      </w:r>
      <w:r>
        <w:rPr>
          <w:rFonts w:hint="default" w:ascii="Times New Roman" w:hAnsi="Times New Roman" w:eastAsia="仿宋_GB2312" w:cs="Times New Roman"/>
          <w:sz w:val="32"/>
          <w:szCs w:val="32"/>
        </w:rPr>
        <w:t>处2000元以上2万元以</w:t>
      </w:r>
      <w:r>
        <w:rPr>
          <w:rFonts w:hint="eastAsia" w:ascii="仿宋_GB2312" w:hAnsi="仿宋_GB2312" w:eastAsia="仿宋_GB2312" w:cs="仿宋_GB2312"/>
          <w:sz w:val="32"/>
          <w:szCs w:val="32"/>
        </w:rPr>
        <w:t>下的罚款。</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旅客班轮运输业务经营者自取得班轮航线经营许可</w:t>
      </w:r>
      <w:r>
        <w:rPr>
          <w:rFonts w:hint="default" w:ascii="Times New Roman" w:hAnsi="Times New Roman" w:eastAsia="仿宋_GB2312" w:cs="Times New Roman"/>
          <w:sz w:val="32"/>
          <w:szCs w:val="32"/>
        </w:rPr>
        <w:t>之日起60日内未开航的，由负责水路运输管理的部门责令改正；拒不改正的，由原许可</w:t>
      </w:r>
      <w:r>
        <w:rPr>
          <w:rFonts w:hint="eastAsia" w:ascii="仿宋_GB2312" w:hAnsi="仿宋_GB2312" w:eastAsia="仿宋_GB2312" w:cs="仿宋_GB2312"/>
          <w:sz w:val="32"/>
          <w:szCs w:val="32"/>
        </w:rPr>
        <w:t>机关撤销该项经营许可。</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水路运输、船舶管理业务经营者取得许可后，不再具备本条例规定的许可条件的，由负责水路运输管理的部门责令限期整改；在规定期限内整改仍不合格的，由原许可机关撤销其经营许可。</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负责水路运输管理的国家工作人员在水路运输管理活动中滥用职权、玩忽职守、徇私舞弊，不依法履行职责的，依法给予处分。</w:t>
      </w: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违反本条例规定，构成违反治安管理行为的，依法给予治安管理处罚；构成犯罪的，依法追究刑事责任。</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附　　则</w:t>
      </w:r>
    </w:p>
    <w:p>
      <w:pPr>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w:t>
      </w:r>
      <w:r>
        <w:rPr>
          <w:rFonts w:ascii="Times New Roman" w:hAnsi="Times New Roman" w:eastAsia="黑体" w:cs="Times New Roman"/>
          <w:sz w:val="32"/>
          <w:szCs w:val="32"/>
        </w:rPr>
        <w:t>条</w:t>
      </w:r>
      <w:r>
        <w:rPr>
          <w:rFonts w:hint="eastAsia" w:ascii="仿宋_GB2312" w:hAnsi="仿宋_GB2312" w:eastAsia="仿宋_GB2312" w:cs="仿宋_GB2312"/>
          <w:sz w:val="32"/>
          <w:szCs w:val="32"/>
        </w:rPr>
        <w:t>　载客</w:t>
      </w:r>
      <w:r>
        <w:rPr>
          <w:rFonts w:hint="default" w:ascii="Times New Roman" w:hAnsi="Times New Roman" w:eastAsia="仿宋_GB2312" w:cs="Times New Roman"/>
          <w:sz w:val="32"/>
          <w:szCs w:val="32"/>
        </w:rPr>
        <w:t>12</w:t>
      </w:r>
      <w:r>
        <w:rPr>
          <w:rFonts w:hint="eastAsia" w:ascii="仿宋_GB2312" w:hAnsi="仿宋_GB2312" w:eastAsia="仿宋_GB2312" w:cs="仿宋_GB2312"/>
          <w:sz w:val="32"/>
          <w:szCs w:val="32"/>
        </w:rPr>
        <w:t>人以下的客运船舶以及乡、镇客运渡船运输的管理办法，由省、自治区、直辖市人民政府另行制定。</w:t>
      </w:r>
    </w:p>
    <w:p>
      <w:pPr>
        <w:pageBreakBefore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黑体" w:cs="Times New Roman"/>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kern w:val="2"/>
          <w:sz w:val="32"/>
          <w:szCs w:val="32"/>
          <w:lang w:val="en-US" w:eastAsia="zh-CN" w:bidi="ar-SA"/>
        </w:rPr>
        <w:t>本条例</w:t>
      </w:r>
      <w:r>
        <w:rPr>
          <w:rFonts w:hint="default" w:ascii="Times New Roman" w:hAnsi="Times New Roman" w:eastAsia="仿宋_GB2312" w:cs="Times New Roman"/>
          <w:kern w:val="2"/>
          <w:sz w:val="32"/>
          <w:szCs w:val="32"/>
          <w:lang w:val="en-US" w:eastAsia="zh-CN" w:bidi="ar-SA"/>
        </w:rPr>
        <w:t>自2013年1月1日起施行。1987年5月12</w:t>
      </w:r>
      <w:r>
        <w:rPr>
          <w:rFonts w:hint="eastAsia" w:ascii="仿宋_GB2312" w:hAnsi="仿宋_GB2312" w:eastAsia="仿宋_GB2312" w:cs="仿宋_GB2312"/>
          <w:kern w:val="2"/>
          <w:sz w:val="32"/>
          <w:szCs w:val="32"/>
          <w:lang w:val="en-US" w:eastAsia="zh-CN" w:bidi="ar-SA"/>
        </w:rPr>
        <w:t>日国务院发布的《中华人民共和国水路运输管理条例》同时废止。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C61966"/>
    <w:rsid w:val="05A5708C"/>
    <w:rsid w:val="09A34AE0"/>
    <w:rsid w:val="0C00483C"/>
    <w:rsid w:val="0CEA0507"/>
    <w:rsid w:val="0D9804AC"/>
    <w:rsid w:val="168D57EA"/>
    <w:rsid w:val="208F6602"/>
    <w:rsid w:val="24F5659E"/>
    <w:rsid w:val="251610A0"/>
    <w:rsid w:val="26705BD1"/>
    <w:rsid w:val="295217CA"/>
    <w:rsid w:val="297953B6"/>
    <w:rsid w:val="298A635B"/>
    <w:rsid w:val="2E493EAA"/>
    <w:rsid w:val="2E9D638E"/>
    <w:rsid w:val="37702892"/>
    <w:rsid w:val="3C460065"/>
    <w:rsid w:val="3D0426E1"/>
    <w:rsid w:val="3DE63740"/>
    <w:rsid w:val="3F3E6ECF"/>
    <w:rsid w:val="40400BE3"/>
    <w:rsid w:val="479733DA"/>
    <w:rsid w:val="481351D2"/>
    <w:rsid w:val="4AB1034C"/>
    <w:rsid w:val="53543565"/>
    <w:rsid w:val="558A062C"/>
    <w:rsid w:val="55C678D1"/>
    <w:rsid w:val="622F12CF"/>
    <w:rsid w:val="663C65F6"/>
    <w:rsid w:val="6A2E56A6"/>
    <w:rsid w:val="6D384E6C"/>
    <w:rsid w:val="775E649E"/>
    <w:rsid w:val="7A105888"/>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5586</Words>
  <Characters>5635</Characters>
  <Lines>1</Lines>
  <Paragraphs>1</Paragraphs>
  <TotalTime>18</TotalTime>
  <ScaleCrop>false</ScaleCrop>
  <LinksUpToDate>false</LinksUpToDate>
  <CharactersWithSpaces>5694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2023-09-07T10:19:41Z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