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99798B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国务院关于规范中介机构为公司公开发行股票提供服务的规定"/>
      <w:bookmarkEnd w:id="0"/>
      <w:r>
        <w:rPr>
          <w:rFonts w:hint="eastAsia" w:ascii="方正小标宋简体" w:hAnsi="方正小标宋简体" w:eastAsia="方正小标宋简体" w:cs="方正小标宋简体"/>
          <w:color w:val="333333"/>
          <w:sz w:val="44"/>
          <w:szCs w:val="44"/>
          <w:shd w:val="clear" w:color="auto" w:fill="FFFFFF"/>
        </w:rPr>
        <w:t>国务</w:t>
      </w:r>
      <w:bookmarkStart w:id="20" w:name="_GoBack"/>
      <w:bookmarkEnd w:id="20"/>
      <w:r>
        <w:rPr>
          <w:rFonts w:hint="eastAsia" w:ascii="方正小标宋简体" w:hAnsi="方正小标宋简体" w:eastAsia="方正小标宋简体" w:cs="方正小标宋简体"/>
          <w:color w:val="333333"/>
          <w:sz w:val="44"/>
          <w:szCs w:val="44"/>
          <w:shd w:val="clear" w:color="auto" w:fill="FFFFFF"/>
        </w:rPr>
        <w:t>院关于规范中介机构为公司</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公开发行股票提供服务的规定</w:t>
      </w:r>
    </w:p>
    <w:p w14:paraId="79EAB2E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1" w:name="第一条"/>
      <w:bookmarkEnd w:id="1"/>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为了规范中介机构为公司公开发行股票提供服务行为，提高上市公司质量，保护投资者合法权益，促进资本市场健康稳定发展，制定本规定。</w:t>
      </w:r>
    </w:p>
    <w:p w14:paraId="2D702A33">
      <w:pPr>
        <w:ind w:firstLine="632" w:firstLineChars="200"/>
        <w:rPr>
          <w:rFonts w:ascii="Times New Roman" w:hAnsi="Times New Roman" w:cs="仿宋_GB2312"/>
          <w:sz w:val="32"/>
          <w:szCs w:val="32"/>
        </w:rPr>
      </w:pPr>
      <w:bookmarkStart w:id="2" w:name="第二条"/>
      <w:bookmarkEnd w:id="2"/>
      <w:r>
        <w:rPr>
          <w:rFonts w:hint="eastAsia" w:ascii="Times New Roman" w:hAnsi="Times New Roman" w:eastAsia="黑体" w:cs="黑体"/>
          <w:sz w:val="32"/>
          <w:szCs w:val="32"/>
        </w:rPr>
        <w:t>第二条</w:t>
      </w:r>
      <w:r>
        <w:rPr>
          <w:rFonts w:hint="eastAsia" w:ascii="Times New Roman" w:hAnsi="Times New Roman" w:cs="仿宋_GB2312"/>
          <w:sz w:val="32"/>
          <w:szCs w:val="32"/>
        </w:rPr>
        <w:t>　证券公司、会计师事务所、律师事务所等机构（以下统称中介机构）为公司在中华人民共和国境内公开发行股票提供服务收取费用等相关活动，适用本规定。</w:t>
      </w:r>
    </w:p>
    <w:p w14:paraId="1B9ABE63">
      <w:pPr>
        <w:ind w:firstLine="632" w:firstLineChars="200"/>
        <w:rPr>
          <w:rFonts w:ascii="Times New Roman" w:hAnsi="Times New Roman" w:cs="仿宋_GB2312"/>
          <w:sz w:val="32"/>
          <w:szCs w:val="32"/>
        </w:rPr>
      </w:pPr>
      <w:bookmarkStart w:id="3" w:name="第三条"/>
      <w:bookmarkEnd w:id="3"/>
      <w:r>
        <w:rPr>
          <w:rFonts w:hint="eastAsia" w:ascii="Times New Roman" w:hAnsi="Times New Roman" w:eastAsia="黑体" w:cs="黑体"/>
          <w:sz w:val="32"/>
          <w:szCs w:val="32"/>
        </w:rPr>
        <w:t>第三条</w:t>
      </w:r>
      <w:r>
        <w:rPr>
          <w:rFonts w:hint="eastAsia" w:ascii="Times New Roman" w:hAnsi="Times New Roman" w:cs="仿宋_GB2312"/>
          <w:sz w:val="32"/>
          <w:szCs w:val="32"/>
        </w:rPr>
        <w:t>　中介机构为公司公开发行股票提供服务，应当遵循诚实守信、勤勉尽责、独立客观的原则，同时配备具有相应专业能力和资质的从业人员，建立有效的利益冲突审查等风险控制制度。</w:t>
      </w:r>
    </w:p>
    <w:p w14:paraId="5486AFA0">
      <w:pPr>
        <w:ind w:firstLine="632" w:firstLineChars="200"/>
        <w:rPr>
          <w:rFonts w:ascii="Times New Roman" w:hAnsi="Times New Roman" w:cs="仿宋_GB2312"/>
          <w:sz w:val="32"/>
          <w:szCs w:val="32"/>
        </w:rPr>
      </w:pPr>
      <w:bookmarkStart w:id="4" w:name="第四条"/>
      <w:bookmarkEnd w:id="4"/>
      <w:r>
        <w:rPr>
          <w:rFonts w:hint="eastAsia" w:ascii="Times New Roman" w:hAnsi="Times New Roman" w:eastAsia="黑体" w:cs="黑体"/>
          <w:sz w:val="32"/>
          <w:szCs w:val="32"/>
        </w:rPr>
        <w:t>第四条</w:t>
      </w:r>
      <w:r>
        <w:rPr>
          <w:rFonts w:hint="eastAsia" w:ascii="Times New Roman" w:hAnsi="Times New Roman" w:cs="仿宋_GB2312"/>
          <w:sz w:val="32"/>
          <w:szCs w:val="32"/>
        </w:rPr>
        <w:t>　中介机构为公司公开发行股票提供服务，不得有配合公司实施财务造假、欺诈发行、违规信息披露等违法违规行为，制作、出具的文件不得有虚假记载、误导性陈述或者重大遗漏。</w:t>
      </w:r>
    </w:p>
    <w:p w14:paraId="0544775C">
      <w:pPr>
        <w:ind w:firstLine="632" w:firstLineChars="200"/>
        <w:rPr>
          <w:rFonts w:ascii="Times New Roman" w:hAnsi="Times New Roman" w:cs="仿宋_GB2312"/>
          <w:sz w:val="32"/>
          <w:szCs w:val="32"/>
        </w:rPr>
      </w:pPr>
      <w:bookmarkStart w:id="5" w:name="第五条"/>
      <w:bookmarkEnd w:id="5"/>
      <w:r>
        <w:rPr>
          <w:rFonts w:hint="eastAsia" w:ascii="Times New Roman" w:hAnsi="Times New Roman" w:eastAsia="黑体" w:cs="黑体"/>
          <w:sz w:val="32"/>
          <w:szCs w:val="32"/>
        </w:rPr>
        <w:t>第五条</w:t>
      </w:r>
      <w:r>
        <w:rPr>
          <w:rFonts w:hint="eastAsia" w:ascii="Times New Roman" w:hAnsi="Times New Roman" w:cs="仿宋_GB2312"/>
          <w:sz w:val="32"/>
          <w:szCs w:val="32"/>
        </w:rPr>
        <w:t>　中介机构应当遵循市场化原则，根据工作量、所需资源投入等因素合理确定收费标准，并与发行人在合同中约定收费安排。</w:t>
      </w:r>
    </w:p>
    <w:p w14:paraId="51DC77E2">
      <w:pPr>
        <w:ind w:firstLine="632" w:firstLineChars="200"/>
        <w:rPr>
          <w:rFonts w:ascii="Times New Roman" w:hAnsi="Times New Roman" w:cs="仿宋_GB2312"/>
          <w:sz w:val="32"/>
          <w:szCs w:val="32"/>
        </w:rPr>
      </w:pPr>
      <w:bookmarkStart w:id="6" w:name="第六条"/>
      <w:bookmarkEnd w:id="6"/>
      <w:r>
        <w:rPr>
          <w:rFonts w:hint="eastAsia" w:ascii="Times New Roman" w:hAnsi="Times New Roman" w:eastAsia="黑体" w:cs="黑体"/>
          <w:sz w:val="32"/>
          <w:szCs w:val="32"/>
        </w:rPr>
        <w:t>第六条</w:t>
      </w:r>
      <w:r>
        <w:rPr>
          <w:rFonts w:hint="eastAsia" w:ascii="Times New Roman" w:hAnsi="Times New Roman" w:cs="仿宋_GB2312"/>
          <w:sz w:val="32"/>
          <w:szCs w:val="32"/>
        </w:rPr>
        <w:t>　证券公司从事保荐业务，可以按照工作进度分阶段收取服务费用，但是收费与否以及收费多少不得以股票公开发行上市结果作为条件。</w:t>
      </w:r>
    </w:p>
    <w:p w14:paraId="7AF8D236">
      <w:pPr>
        <w:ind w:firstLine="632" w:firstLineChars="200"/>
        <w:rPr>
          <w:rFonts w:ascii="Times New Roman" w:hAnsi="Times New Roman" w:cs="仿宋_GB2312"/>
          <w:sz w:val="32"/>
          <w:szCs w:val="32"/>
        </w:rPr>
      </w:pPr>
      <w:r>
        <w:rPr>
          <w:rFonts w:hint="eastAsia" w:ascii="Times New Roman" w:hAnsi="Times New Roman" w:cs="仿宋_GB2312"/>
          <w:sz w:val="32"/>
          <w:szCs w:val="32"/>
        </w:rPr>
        <w:t>证券公司从事承销业务，应当符合国务院证券监督管理机构的规定，综合评估项目成本等因素收取服务费用，不得按照发行规模递增收费比例。</w:t>
      </w:r>
    </w:p>
    <w:p w14:paraId="6945843C">
      <w:pPr>
        <w:ind w:firstLine="632" w:firstLineChars="200"/>
        <w:rPr>
          <w:rFonts w:ascii="Times New Roman" w:hAnsi="Times New Roman" w:cs="仿宋_GB2312"/>
          <w:sz w:val="32"/>
          <w:szCs w:val="32"/>
        </w:rPr>
      </w:pPr>
      <w:bookmarkStart w:id="7" w:name="第七条"/>
      <w:bookmarkEnd w:id="7"/>
      <w:r>
        <w:rPr>
          <w:rFonts w:hint="eastAsia" w:ascii="Times New Roman" w:hAnsi="Times New Roman" w:eastAsia="黑体" w:cs="黑体"/>
          <w:sz w:val="32"/>
          <w:szCs w:val="32"/>
        </w:rPr>
        <w:t>第七条</w:t>
      </w:r>
      <w:r>
        <w:rPr>
          <w:rFonts w:hint="eastAsia" w:ascii="Times New Roman" w:hAnsi="Times New Roman" w:cs="仿宋_GB2312"/>
          <w:sz w:val="32"/>
          <w:szCs w:val="32"/>
        </w:rPr>
        <w:t>　会计师事务所执行审计业务，可以按照工作进度分阶段收取服务费用，但是收费与否以及收费多少不得以审计结果或者股票公开发行上市结果作为条件。</w:t>
      </w:r>
    </w:p>
    <w:p w14:paraId="171A728D">
      <w:pPr>
        <w:ind w:firstLine="632" w:firstLineChars="200"/>
        <w:rPr>
          <w:rFonts w:ascii="Times New Roman" w:hAnsi="Times New Roman" w:cs="仿宋_GB2312"/>
          <w:sz w:val="32"/>
          <w:szCs w:val="32"/>
        </w:rPr>
      </w:pPr>
      <w:bookmarkStart w:id="8" w:name="第八条"/>
      <w:bookmarkEnd w:id="8"/>
      <w:r>
        <w:rPr>
          <w:rFonts w:hint="eastAsia" w:ascii="Times New Roman" w:hAnsi="Times New Roman" w:eastAsia="黑体" w:cs="黑体"/>
          <w:sz w:val="32"/>
          <w:szCs w:val="32"/>
        </w:rPr>
        <w:t>第八条</w:t>
      </w:r>
      <w:r>
        <w:rPr>
          <w:rFonts w:hint="eastAsia" w:ascii="Times New Roman" w:hAnsi="Times New Roman" w:cs="仿宋_GB2312"/>
          <w:sz w:val="32"/>
          <w:szCs w:val="32"/>
        </w:rPr>
        <w:t>　律师事务所为公司公开发行股票提供服务，应当由律师事务所统一收费，并符合国务院司法行政等部门关于律师服务收费的相关规定。</w:t>
      </w:r>
    </w:p>
    <w:p w14:paraId="4A931298">
      <w:pPr>
        <w:ind w:firstLine="632" w:firstLineChars="200"/>
        <w:rPr>
          <w:rFonts w:ascii="Times New Roman" w:hAnsi="Times New Roman" w:cs="仿宋_GB2312"/>
          <w:sz w:val="32"/>
          <w:szCs w:val="32"/>
        </w:rPr>
      </w:pPr>
      <w:bookmarkStart w:id="9" w:name="第九条"/>
      <w:bookmarkEnd w:id="9"/>
      <w:r>
        <w:rPr>
          <w:rFonts w:hint="eastAsia" w:ascii="Times New Roman" w:hAnsi="Times New Roman" w:eastAsia="黑体" w:cs="黑体"/>
          <w:sz w:val="32"/>
          <w:szCs w:val="32"/>
        </w:rPr>
        <w:t>第九条</w:t>
      </w:r>
      <w:r>
        <w:rPr>
          <w:rFonts w:hint="eastAsia" w:ascii="Times New Roman" w:hAnsi="Times New Roman" w:cs="仿宋_GB2312"/>
          <w:sz w:val="32"/>
          <w:szCs w:val="32"/>
        </w:rPr>
        <w:t>　中介机构及其从业人员不得存在以下情形：</w:t>
      </w:r>
    </w:p>
    <w:p w14:paraId="7D49A3CD">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（一）在合同约定之外收取费用，或者以临时加价等方式变相提高收费标准；</w:t>
      </w:r>
    </w:p>
    <w:p w14:paraId="6E8BBDFD">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（二）通过签订补充协议、另行约定等方式规避监管收取服务费用，或者违反规定在不同业务之间调节收取服务费用；</w:t>
      </w:r>
    </w:p>
    <w:p w14:paraId="510E40D2">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（三）违反规定入股，或者通过获取股票公开发行上市奖励费等方式谋取不正当利益；</w:t>
      </w:r>
    </w:p>
    <w:p w14:paraId="46C503B4">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（四）其他违反国家规定的收费或者变相收费行为。</w:t>
      </w:r>
    </w:p>
    <w:p w14:paraId="022ADA54">
      <w:pPr>
        <w:ind w:firstLine="632" w:firstLineChars="200"/>
        <w:rPr>
          <w:rFonts w:ascii="Times New Roman" w:hAnsi="Times New Roman" w:cs="仿宋_GB2312"/>
          <w:sz w:val="32"/>
          <w:szCs w:val="32"/>
        </w:rPr>
      </w:pPr>
      <w:bookmarkStart w:id="10" w:name="第十条"/>
      <w:bookmarkEnd w:id="10"/>
      <w:r>
        <w:rPr>
          <w:rFonts w:hint="eastAsia" w:ascii="Times New Roman" w:hAnsi="Times New Roman" w:eastAsia="黑体" w:cs="黑体"/>
          <w:sz w:val="32"/>
          <w:szCs w:val="32"/>
        </w:rPr>
        <w:t>第十条</w:t>
      </w:r>
      <w:r>
        <w:rPr>
          <w:rFonts w:hint="eastAsia" w:ascii="Times New Roman" w:hAnsi="Times New Roman" w:cs="仿宋_GB2312"/>
          <w:sz w:val="32"/>
          <w:szCs w:val="32"/>
        </w:rPr>
        <w:t>　地方各级人民政府不得以股票公开发行上市结果为条件，给予发行人或者中介机构奖励。</w:t>
      </w:r>
    </w:p>
    <w:p w14:paraId="7915FBC2">
      <w:pPr>
        <w:ind w:firstLine="632" w:firstLineChars="200"/>
        <w:rPr>
          <w:rFonts w:ascii="Times New Roman" w:hAnsi="Times New Roman" w:cs="仿宋_GB2312"/>
          <w:sz w:val="32"/>
          <w:szCs w:val="32"/>
        </w:rPr>
      </w:pPr>
      <w:bookmarkStart w:id="11" w:name="第十一条"/>
      <w:bookmarkEnd w:id="11"/>
      <w:r>
        <w:rPr>
          <w:rFonts w:hint="eastAsia" w:ascii="Times New Roman" w:hAnsi="Times New Roman" w:eastAsia="黑体" w:cs="黑体"/>
          <w:sz w:val="32"/>
          <w:szCs w:val="32"/>
        </w:rPr>
        <w:t>第十一条</w:t>
      </w:r>
      <w:r>
        <w:rPr>
          <w:rFonts w:hint="eastAsia" w:ascii="Times New Roman" w:hAnsi="Times New Roman" w:cs="仿宋_GB2312"/>
          <w:sz w:val="32"/>
          <w:szCs w:val="32"/>
        </w:rPr>
        <w:t>　发行人申请公开发行股票时，应当在所报送的招股说明书或者其他相关信息披露文件中详细列明各类中介服务收费标准、金额以及发行人付费安排等信息。</w:t>
      </w:r>
    </w:p>
    <w:p w14:paraId="07997583">
      <w:pPr>
        <w:ind w:firstLine="632" w:firstLineChars="200"/>
        <w:rPr>
          <w:rFonts w:ascii="Times New Roman" w:hAnsi="Times New Roman" w:cs="仿宋_GB2312"/>
          <w:sz w:val="32"/>
          <w:szCs w:val="32"/>
        </w:rPr>
      </w:pPr>
      <w:bookmarkStart w:id="12" w:name="第十二条"/>
      <w:bookmarkEnd w:id="12"/>
      <w:r>
        <w:rPr>
          <w:rFonts w:hint="eastAsia" w:ascii="Times New Roman" w:hAnsi="Times New Roman" w:eastAsia="黑体" w:cs="黑体"/>
          <w:sz w:val="32"/>
          <w:szCs w:val="32"/>
        </w:rPr>
        <w:t>第十二条</w:t>
      </w:r>
      <w:r>
        <w:rPr>
          <w:rFonts w:hint="eastAsia" w:ascii="Times New Roman" w:hAnsi="Times New Roman" w:cs="仿宋_GB2312"/>
          <w:sz w:val="32"/>
          <w:szCs w:val="32"/>
        </w:rPr>
        <w:t>　证券监督管理、财政、司法行政等部门应当加强信息沟通和协调配合，按照职责分工，依法对中介机构执业行为加强监管；必要时可以采取联合现场检查等措施，依法查处违法违规行为。</w:t>
      </w:r>
    </w:p>
    <w:p w14:paraId="7BDDF9A6">
      <w:pPr>
        <w:ind w:firstLine="632" w:firstLineChars="200"/>
        <w:rPr>
          <w:rFonts w:ascii="Times New Roman" w:hAnsi="Times New Roman" w:cs="仿宋_GB2312"/>
          <w:sz w:val="32"/>
          <w:szCs w:val="32"/>
        </w:rPr>
      </w:pPr>
      <w:bookmarkStart w:id="13" w:name="第十三条"/>
      <w:bookmarkEnd w:id="13"/>
      <w:r>
        <w:rPr>
          <w:rFonts w:hint="eastAsia" w:ascii="Times New Roman" w:hAnsi="Times New Roman" w:eastAsia="黑体" w:cs="黑体"/>
          <w:sz w:val="32"/>
          <w:szCs w:val="32"/>
        </w:rPr>
        <w:t>第十三条</w:t>
      </w:r>
      <w:r>
        <w:rPr>
          <w:rFonts w:hint="eastAsia" w:ascii="Times New Roman" w:hAnsi="Times New Roman" w:cs="仿宋_GB2312"/>
          <w:sz w:val="32"/>
          <w:szCs w:val="32"/>
        </w:rPr>
        <w:t>　中介机构违反本规定的，由证券监督管理、财政、司法行政、市场监督管理等部门按照职责分工责令改正，给予警告，没收违法所得，可以并处违法所得1倍以上10倍以下罚款；没有违法所得或者违法所得不足10万元的，可以并处10万元以上100万元以下罚款；对直接负责的主管人员和其他直接责任人员给予警告，可以并处10万元以上100万元以下罚款。法律另有规定的，从其规定。</w:t>
      </w:r>
    </w:p>
    <w:p w14:paraId="1BB4E48C">
      <w:pPr>
        <w:ind w:firstLine="632" w:firstLineChars="200"/>
        <w:rPr>
          <w:rFonts w:ascii="Times New Roman" w:hAnsi="Times New Roman" w:cs="仿宋_GB2312"/>
          <w:sz w:val="32"/>
          <w:szCs w:val="32"/>
        </w:rPr>
      </w:pPr>
      <w:r>
        <w:rPr>
          <w:rFonts w:hint="eastAsia" w:ascii="Times New Roman" w:hAnsi="Times New Roman" w:cs="仿宋_GB2312"/>
          <w:sz w:val="32"/>
          <w:szCs w:val="32"/>
        </w:rPr>
        <w:t>中介机构从业人员违反本规定第九条规定的，由证券监督管理、财政、司法行政等部门按照职责分工责令改正，给予警告，没收违法所得，可以并处违法所得1倍以上10倍以下罚款；没有违法所得或者违法所得不足10万元的，可以并处10万元以上100万元以下罚款；情节严重的，可以并处暂停从事相关业务1个月至1年。法律另有规定的，从其规定。</w:t>
      </w:r>
    </w:p>
    <w:p w14:paraId="3486B362">
      <w:pPr>
        <w:ind w:firstLine="632" w:firstLineChars="200"/>
        <w:rPr>
          <w:rFonts w:ascii="Times New Roman" w:hAnsi="Times New Roman" w:cs="仿宋_GB2312"/>
          <w:sz w:val="32"/>
          <w:szCs w:val="32"/>
        </w:rPr>
      </w:pPr>
      <w:bookmarkStart w:id="14" w:name="第十四条"/>
      <w:bookmarkEnd w:id="14"/>
      <w:r>
        <w:rPr>
          <w:rFonts w:hint="eastAsia" w:ascii="Times New Roman" w:hAnsi="Times New Roman" w:eastAsia="黑体" w:cs="黑体"/>
          <w:sz w:val="32"/>
          <w:szCs w:val="32"/>
        </w:rPr>
        <w:t>第十四条</w:t>
      </w:r>
      <w:r>
        <w:rPr>
          <w:rFonts w:hint="eastAsia" w:ascii="Times New Roman" w:hAnsi="Times New Roman" w:cs="仿宋_GB2312"/>
          <w:sz w:val="32"/>
          <w:szCs w:val="32"/>
        </w:rPr>
        <w:t>　发行人违反本规定第十一条规定的，由证券监督管理机构责令改正，给予警告，可以并处10万元以上100万元以下罚款；对直接负责的主管人员和其他直接责任人员给予警告，可以并处10万元以上100万元以下罚款。发行人的控股股东、实际控制人组织、指使从事上述违法行为，或者隐瞒相关事项导致发生上述情形的，处10万元以上100万元以下罚款；对直接负责的主管人员和其他直接责任人员给予警告，并处10万元以上100万元以下罚款。</w:t>
      </w:r>
    </w:p>
    <w:p w14:paraId="1D845ADE">
      <w:pPr>
        <w:ind w:firstLine="632" w:firstLineChars="200"/>
        <w:rPr>
          <w:rFonts w:ascii="Times New Roman" w:hAnsi="Times New Roman" w:cs="仿宋_GB2312"/>
          <w:sz w:val="32"/>
          <w:szCs w:val="32"/>
        </w:rPr>
      </w:pPr>
      <w:bookmarkStart w:id="15" w:name="第十五条"/>
      <w:bookmarkEnd w:id="15"/>
      <w:r>
        <w:rPr>
          <w:rFonts w:hint="eastAsia" w:ascii="Times New Roman" w:hAnsi="Times New Roman" w:eastAsia="黑体" w:cs="黑体"/>
          <w:sz w:val="32"/>
          <w:szCs w:val="32"/>
        </w:rPr>
        <w:t>第十五条</w:t>
      </w:r>
      <w:r>
        <w:rPr>
          <w:rFonts w:hint="eastAsia" w:ascii="Times New Roman" w:hAnsi="Times New Roman" w:cs="仿宋_GB2312"/>
          <w:sz w:val="32"/>
          <w:szCs w:val="32"/>
        </w:rPr>
        <w:t>　国务院证券监督管理机构依法将中介机构遵守本规定的情况纳入证券市场诚信档案。</w:t>
      </w:r>
    </w:p>
    <w:p w14:paraId="6D853E98">
      <w:pPr>
        <w:ind w:firstLine="632" w:firstLineChars="200"/>
        <w:rPr>
          <w:rFonts w:ascii="Times New Roman" w:hAnsi="Times New Roman" w:cs="仿宋_GB2312"/>
          <w:sz w:val="32"/>
          <w:szCs w:val="32"/>
        </w:rPr>
      </w:pPr>
      <w:bookmarkStart w:id="16" w:name="第十六条"/>
      <w:bookmarkEnd w:id="16"/>
      <w:r>
        <w:rPr>
          <w:rFonts w:hint="eastAsia" w:ascii="Times New Roman" w:hAnsi="Times New Roman" w:eastAsia="黑体" w:cs="黑体"/>
          <w:sz w:val="32"/>
          <w:szCs w:val="32"/>
        </w:rPr>
        <w:t>第十六条</w:t>
      </w:r>
      <w:r>
        <w:rPr>
          <w:rFonts w:hint="eastAsia" w:ascii="Times New Roman" w:hAnsi="Times New Roman" w:cs="仿宋_GB2312"/>
          <w:sz w:val="32"/>
          <w:szCs w:val="32"/>
        </w:rPr>
        <w:t>　自本规定施行之日起，地方各级人民政府违反本规定第十条规定，给予发行人或者中介机构奖励的，应当追回，并由有关机关对负有责任的领导人员和直接责任人员依法给予处分。</w:t>
      </w:r>
    </w:p>
    <w:p w14:paraId="611B0028">
      <w:pPr>
        <w:ind w:firstLine="632" w:firstLineChars="200"/>
        <w:rPr>
          <w:rFonts w:ascii="Times New Roman" w:hAnsi="Times New Roman" w:cs="仿宋_GB2312"/>
          <w:sz w:val="32"/>
          <w:szCs w:val="32"/>
        </w:rPr>
      </w:pPr>
      <w:bookmarkStart w:id="17" w:name="第十七条"/>
      <w:bookmarkEnd w:id="17"/>
      <w:r>
        <w:rPr>
          <w:rFonts w:hint="eastAsia" w:ascii="Times New Roman" w:hAnsi="Times New Roman" w:eastAsia="黑体" w:cs="黑体"/>
          <w:sz w:val="32"/>
          <w:szCs w:val="32"/>
        </w:rPr>
        <w:t>第十七条</w:t>
      </w:r>
      <w:r>
        <w:rPr>
          <w:rFonts w:hint="eastAsia" w:ascii="Times New Roman" w:hAnsi="Times New Roman" w:cs="仿宋_GB2312"/>
          <w:sz w:val="32"/>
          <w:szCs w:val="32"/>
        </w:rPr>
        <w:t>　中介机构为公司公开发行存托凭证、可转换为股票的公司债券提供服务的，参照适用本规定。</w:t>
      </w:r>
    </w:p>
    <w:p w14:paraId="11CAE893">
      <w:pPr>
        <w:ind w:firstLine="632" w:firstLineChars="200"/>
        <w:rPr>
          <w:rFonts w:ascii="Times New Roman" w:hAnsi="Times New Roman" w:cs="仿宋_GB2312"/>
          <w:sz w:val="32"/>
          <w:szCs w:val="32"/>
        </w:rPr>
      </w:pPr>
      <w:bookmarkStart w:id="18" w:name="第十八条"/>
      <w:bookmarkEnd w:id="18"/>
      <w:r>
        <w:rPr>
          <w:rFonts w:hint="eastAsia" w:ascii="Times New Roman" w:hAnsi="Times New Roman" w:eastAsia="黑体" w:cs="黑体"/>
          <w:sz w:val="32"/>
          <w:szCs w:val="32"/>
        </w:rPr>
        <w:t>第十八条</w:t>
      </w:r>
      <w:r>
        <w:rPr>
          <w:rFonts w:hint="eastAsia" w:ascii="Times New Roman" w:hAnsi="Times New Roman" w:cs="仿宋_GB2312"/>
          <w:sz w:val="32"/>
          <w:szCs w:val="32"/>
        </w:rPr>
        <w:t>　国务院证券监督管理、财政、司法行政等部门可以根据本规定制定实施办法。</w:t>
      </w:r>
    </w:p>
    <w:p w14:paraId="40B60F75">
      <w:pPr>
        <w:ind w:firstLine="632" w:firstLineChars="200"/>
        <w:rPr>
          <w:rFonts w:ascii="Times New Roman" w:hAnsi="Times New Roman" w:cs="仿宋_GB2312"/>
          <w:sz w:val="32"/>
          <w:szCs w:val="32"/>
        </w:rPr>
      </w:pPr>
      <w:bookmarkStart w:id="19" w:name="第十九条"/>
      <w:bookmarkEnd w:id="19"/>
      <w:r>
        <w:rPr>
          <w:rFonts w:hint="eastAsia" w:ascii="Times New Roman" w:hAnsi="Times New Roman" w:eastAsia="黑体" w:cs="黑体"/>
          <w:sz w:val="32"/>
          <w:szCs w:val="32"/>
        </w:rPr>
        <w:t>第十九条</w:t>
      </w:r>
      <w:r>
        <w:rPr>
          <w:rFonts w:hint="eastAsia" w:ascii="Times New Roman" w:hAnsi="Times New Roman" w:cs="仿宋_GB2312"/>
          <w:sz w:val="32"/>
          <w:szCs w:val="32"/>
        </w:rPr>
        <w:t>　本规定自2025年2月15日起施行。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HONOR Sans CN"/>
    <w:panose1 w:val="00000000000000000000"/>
    <w:charset w:val="00"/>
    <w:family w:val="roman"/>
    <w:pitch w:val="default"/>
    <w:sig w:usb0="00000000" w:usb1="00000000" w:usb2="00000000" w:usb3="00000000" w:csb0="00040001" w:csb1="00000000"/>
  </w:font>
  <w:font w:name="HONOR Sans CN">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8D557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4CE4531"/>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1759</Words>
  <Characters>1788</Characters>
  <Lines>87</Lines>
  <Paragraphs>24</Paragraphs>
  <TotalTime>43</TotalTime>
  <ScaleCrop>false</ScaleCrop>
  <LinksUpToDate>false</LinksUpToDate>
  <CharactersWithSpaces>1807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2025-01-22T05:46:50Z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21D1809ED2794F9998EEE1287902F122_13</vt:lpwstr>
  </property>
  <property fmtid="{D5CDD505-2E9C-101B-9397-08002B2CF9AE}" pid="3" name="KSOProductBuildVer">
    <vt:lpwstr>2052-12.1.0.19770</vt:lpwstr>
  </property>
  <property fmtid="{D5CDD505-2E9C-101B-9397-08002B2CF9AE}" pid="4" name="KSOTemplateDocerSaveRecord">
    <vt:lpwstr>eyJoZGlkIjoiOTc3M2Y5NzIzMDFlZjAyY2Q4Njk5ODkyYjFjNzBiNTQiLCJ1c2VySWQiOiIyMzkwNjQ1MjcifQ==</vt:lpwstr>
  </property>
</Properties>
</file>