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国务院关于鼓励外商投资的规定</w:t>
      </w:r>
    </w:p>
    <w:p>
      <w:pPr>
        <w:pStyle w:val="2"/>
        <w:jc w:val="center"/>
        <w:rPr>
          <w:rFonts w:ascii="方正楷体_GBK" w:hAnsi="方正楷体_GBK" w:eastAsia="方正楷体_GBK" w:cs="方正楷体_GBK"/>
          <w:sz w:val="32"/>
          <w:szCs w:val="32"/>
        </w:rPr>
      </w:pPr>
    </w:p>
    <w:p>
      <w:pPr>
        <w:pStyle w:val="2"/>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1986</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日国务院发布　自发布之日</w:t>
      </w:r>
      <w:bookmarkStart w:id="0" w:name="_GoBack"/>
      <w:bookmarkEnd w:id="0"/>
      <w:r>
        <w:rPr>
          <w:rFonts w:hint="eastAsia" w:ascii="楷体_GB2312" w:hAnsi="楷体_GB2312" w:eastAsia="楷体_GB2312" w:cs="楷体_GB2312"/>
          <w:sz w:val="32"/>
          <w:szCs w:val="32"/>
        </w:rPr>
        <w:t>起施行）</w:t>
      </w:r>
    </w:p>
    <w:p>
      <w:pPr>
        <w:pStyle w:val="2"/>
        <w:ind w:firstLine="640" w:firstLineChars="200"/>
        <w:rPr>
          <w:rFonts w:ascii="方正楷体_GBK" w:hAnsi="方正楷体_GBK" w:eastAsia="方正楷体_GBK" w:cs="方正楷体_GBK"/>
          <w:sz w:val="32"/>
          <w:szCs w:val="32"/>
        </w:rPr>
      </w:pP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为了改善投资环境，更好地吸收外商投资，引进先进技术，提高产品质量，扩大出口创汇，发展国民经济，特制定本规定。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国家鼓励外国的公司、企业和其他经济组织或者个人(以下简称外国投资者)，在中国境内举办中外合资经营企业、中外合作经营企业和外资企业(以下简称外商投资企业)。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国家对下列外商投资企业给予特别优惠：</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一、产品主要用于出口，年度外汇总收入额减除年度生产经营外汇支出额和外国投资者汇出分得利润所需外汇额以后，外汇有结余的生产型企业(以下简称产品出口企业)；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二、外国投资者提供先进技术，从事新产品开发，实现产品升级换代，以增加出口创汇或者替代进口的生产型企业(以下简称先进技术企业)。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产品出口企业和先进技术企业，除按照国家规定支付或者提取中方职工劳动保险、福利费用和住房补助基金外，免缴国家对职工的各项补贴。</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产品出口企业和先进技术企业的场地使用费，除大城市市区繁华地段外，按下列标准计收：</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一、开发费和使用费综合计收的地区，为每年每平方米五元至二十元；</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二、开发费一次性计收或者上述企业自行开发场地的地区，使用费最高为每年每平方米三元。</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前款规定的费用，地方人民政府可以酌情在一定期限内免收。</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对产品出口企业和先进技术企业优先提供生产经营所需的水、电、运输条件和通信设施，按照当地国营企业收费标准计收费用。</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产品出口企业和先进技术企业在生产和流通过程中需要借贷的短期周转资金，以及其他必需的信贷资金，经中国银行审核后，优先贷放。</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产品出口企业和先进技术企业的外国投资者，将其从企业分得的利润汇出境外时，免缴汇出额的所得税。</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产品出口企业按照国家规定减免企业所得税期满后，凡当年企业出口产品产值达到当年企业产品产值70%以上的，可以按照现行税率减半缴纳企业所得税。</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经济特区和经济技术开发区的以及其他已经按15%的税率缴纳企业所得税的产品出口企业，符合前款条件的，减按10%的税率缴纳企业所得税。</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先进技术企业按照国家规定减免企业所得税期满后，可以延长三年减半缴纳企业所得税。</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外国投资者将其从企业分得的利润，在中国境内再投资举办、扩建产品出口企业或者先进技术企业，经营期不少于五年的，经申请税务机关核准，全部退还其再投资部分已缴纳的企业所得税税款。经营期不足五年撤出该项投资的，应当缴回已退的企业所得税税款。</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对外商投资企业的出口产品，除原油、成品油和国家另有规定的产品外，免征工商统一税。</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外商投资企业可以自行组织其产品出口，也可以按照国家规定委托代理出口。属于需要申领出口许可证的产品，按照企业年度出口计划，每半年申领一次许可证。</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外商投资企业为履行其产品出口合同，需要进口(包括国家限制进口)的机械设备、生产用的车辆、原材料、燃料、散件、零部件、元器件、配套件，不再报请审批，免领进口许可证，由海关实行监管，凭企业合同或者进出口合同验放。</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前款所述进口料、件，只限于本企业自用，不得在国内市场出售；如用于内销产品，应当按照规定补办进口手续，并照章补税。</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外商投资企业之间，在外汇管理部门监管下，可以相互调剂外汇余缺。</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中国银行以及经中国人民银行指定的其他银行，可以对外商投资企业开办现汇抵押业务，贷放人民币资金。</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各级人民政府和有关主管部门应当保障外商投资企业的自主权，支持外商投资企业按照国际上先进的科学方法管理企业。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外商投资企业有权在批准的合同范围内，自行制定生产经营计划，筹措、运用资金，采购生产资料，销售产品；自行确定工资标准、工资形式和奖励、津贴制度。</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外商投资企业可以根据生产经营需要，自行确定其机构设置和人员编制，聘用或者辞退高级经营管理人员，增加或者辞退职工；可以在当地招聘和招收技术人员、管理人员和工人，被录用人员所在单位应当给予支持，允许流动；对违反规章制度，造成一定后果的职工，可以根据情节轻重，给予不同处分，直至开除。外商投资企业招聘、招收、辞退或者开除职工，应当向当地劳动人事部门备案。</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各地区、各部门必须执行《国务院关于坚决制止向企业乱摊派的通知》，由省级人民政府制定具体办法，加强监督管理。</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外商投资企业遇有不合理收费的情况可以拒交；也可以向当地经济委员会直到国家经济委员会申诉。</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各级人民政府和有关主管部门，应当加强协调工作，提高办事效率，及时审批外商投资企业申报的需要批复和解决的事宜。由国务院主管部门审批的外商投资企业的协议、合同、章程，审批机关必须在收到全部文件之日起三个月以内决定批准或者不批准。</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本规定所指产品出口企业和先进技术企业，由该企业所在地的对外经济贸易部门会同有关部门根据企业合同确认，并出具证明。</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产品出口企业的年度出口实绩，如果未能实现企业合同规定的外汇平衡有结余的目标，应当在下一年度内补缴上一年度已经减免的税、费。</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本规定除明确规定适用于产品出口企业或者先进技术企业的条款外，其他条款适用于所有外商投资企业。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本规定施行之日前获准举办的外商投资企业，凡符合本规定的优惠条件的，自施行之日起适用本规定。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第二十条　</w:t>
      </w:r>
      <w:r>
        <w:rPr>
          <w:rFonts w:hint="eastAsia" w:ascii="仿宋_GB2312" w:hAnsi="Times New Roman" w:eastAsia="仿宋_GB2312" w:cs="Times New Roman"/>
          <w:sz w:val="32"/>
          <w:szCs w:val="32"/>
        </w:rPr>
        <w:t>香港、澳门、台湾的公司、企业和其他经济组织或者个人投资举办的企业，参照本规定执行。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第二十一条　</w:t>
      </w:r>
      <w:r>
        <w:rPr>
          <w:rFonts w:hint="eastAsia" w:ascii="仿宋_GB2312" w:hAnsi="Times New Roman" w:eastAsia="仿宋_GB2312" w:cs="Times New Roman"/>
          <w:sz w:val="32"/>
          <w:szCs w:val="32"/>
        </w:rPr>
        <w:t>本规定由对外经济贸易部负责解释。</w:t>
      </w:r>
    </w:p>
    <w:p>
      <w:pPr>
        <w:ind w:firstLine="640" w:firstLineChars="200"/>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本规定自发布之日起施行。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altName w:val="Arial Unicode MS"/>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- 3 -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41C3295"/>
    <w:rsid w:val="000364EA"/>
    <w:rsid w:val="00084AC3"/>
    <w:rsid w:val="001E7052"/>
    <w:rsid w:val="004C67A7"/>
    <w:rsid w:val="00B7360F"/>
    <w:rsid w:val="00DA05C9"/>
    <w:rsid w:val="042C5C13"/>
    <w:rsid w:val="30FC472C"/>
    <w:rsid w:val="47C12A6F"/>
    <w:rsid w:val="4DAE4E16"/>
    <w:rsid w:val="60421959"/>
    <w:rsid w:val="62071EEE"/>
    <w:rsid w:val="741C32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336</Words>
  <Characters>1920</Characters>
  <Lines>16</Lines>
  <Paragraphs>4</Paragraphs>
  <TotalTime>2</TotalTime>
  <ScaleCrop>false</ScaleCrop>
  <LinksUpToDate>false</LinksUpToDate>
  <CharactersWithSpaces>2252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2019-05-22T15:53:00Z</dcterms:created>
  <dc:creator>Administrator</dc:creator>
  <cp:lastModifiedBy>范杰</cp:lastModifiedBy>
  <cp:lastPrinted>2019-05-25T09:27:00Z</cp:lastPrinted>
  <dcterms:modified xsi:type="dcterms:W3CDTF">2019-07-31T10:27:54Z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