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地方各级人民政府机构设置和编制管理条例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(2007年2月14日国务院第169次常务会议通过　2007年2月24日中华人民共和国国务院令第486号公布　自2007年5月1日起施行)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为了规范地方各级人民政府机构设置，加强编制管理，提高行政效能，根据宪法、地方各级人民代表大会和地方各级人民政府组织法，制定本条例。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地方各级人民政府机构的设置、职责配置、编制核定以及对机构编制工作的监督管理，适用本条例。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地方各级人民政府机构设置和编制管理工作，应当按照经济社会全面协调可持续发展的要求，适应全面履行职能的需要，遵循精简、统一、效能的原则。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地方各级人民政府的机构编制工作，实行中央统一领导、地方分级管理的体制。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县级以上各级人民政府机构编制管理机关应当按照管理权限履行管理职责，并对下级机构编制工作进行业务指导和监督。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依照国家规定的程序设置的机构和核定的编制，是录用、聘用、调配工作人员、配备领导成员和核拨</w:t>
      </w:r>
      <w:r>
        <w:rPr>
          <w:rFonts w:ascii="Times New Roman" w:hAnsi="Times New Roman" w:eastAsia="仿宋_GB2312" w:cs="Times New Roman"/>
          <w:sz w:val="32"/>
          <w:szCs w:val="32"/>
        </w:rPr>
        <w:t>经费的依据。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应当建立机构编制、人员工资与财政预算相互制约的机制，在设置机构、核定编制时，应当充分考虑财政的供养能力。机构实有人员不得突破规定的编制。禁止擅自设置机构和增加编制。对擅自设置机构和增加编制的，不得核拨财政资金或者挪用其他资金安排其经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县级以上各级人民政府行政机构不得干预下级人民政府行政机构的设置和编制管理工作，不得要求下级人民政府设立与其业务对口的行政机构。</w:t>
      </w:r>
    </w:p>
    <w:p>
      <w:pPr>
        <w:pStyle w:val="3"/>
        <w:bidi w:val="0"/>
      </w:pPr>
      <w:r>
        <w:t>第二章　机构设置管理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地方各级人民政府行政机构应当以职责的科学配置为基础，综合设置，做到职责明确、分工合理、机构精简、权责一致，决策和执行相协调。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地方各级人民政府行政机构应当根据履行职责的需要，适时调整。但是，在一届政府任期内，地方各级人民政府的工作部门应当保持相对稳定。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地方各级人民政府行政机构的设立、撤销、合并或者变更规格、名称，由本级人民政府提出方案，经上一级人民政府机构编制管理机关审核后，报上一级人民政府批准；其中，县级以上地方各级人民政府行政机构的设立、撤销或者合并，还应当依法报本级人民代表大会常务委员会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地方各级人民政府行政机构职责相同或者相近的，原则上由一个行政机构承担。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构之间对职责划分有异议的，应当主动协商解决。协商一致的，报本级人民政府机构编制管理机关备案；协商不一致的，应当提请本级人民政府机构编制管理机关提出协调意见，由机构编制管理机关报本级人民政府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地方各级人民政府设立议事协调机构，应当严格控制；可以交由现有机构承担职能的或者由现有机构进行协调可以解决问题的，不另设立议事协调机构。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为办理一定时期内某项特定工作设立的议事协调机构，应当明确规定其撤销的条件和期限。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县级以上地方各级人民政府的议事协调机构不单独设立办事机构，具体工作由有关的行政机构承担。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地方各级人民政府行政机构根据工作需要和精干的原则，设立必要的内设机构。县级以上地方各级人民政府行政机构的内设机构的设立、撤销、合并或者变更规格、名称，由该行政机构报本级人民政府机构编制管理机关审批。</w:t>
      </w:r>
    </w:p>
    <w:p>
      <w:pPr>
        <w:pStyle w:val="3"/>
        <w:bidi w:val="0"/>
      </w:pPr>
      <w:r>
        <w:t>第三章　编制管理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地方各级人民政府行政机构的编制，应当根据其所承担的职责，按照精简的原则核定。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机构编制管理机关应当按照编制的不同类别和使用范围审批编制。地方各级人民政府行政机构应当使用行政编制，事业单位应当使用事业编制，不得混用、挤占、挪用或者自行设定其他类别的编制。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地方各级人民政府的行政编制总额，由省、自治区、直辖市人民政府提出，经国务院机构编制管理机关审核后，报国务院批准。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根据工作需要，国务院机构编制管理机关报经国务院批准，可以在地方行政编制总额内对特定的行政机构的行政编制实行专项管理。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地方各级人民政府根据调整职责的需要，可以在行政编制总额内调整本级人民政府有关部门的行政编制。但是，在同一个行政区域不同层级之间调配使用行政编制的，应当由省、自治区、直辖市人民政府机构编制管理机关报国务院机构编制管理机关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地方各级人民政府议事协调机构不单独确定编制，所需要的编制由承担具体工作的行政机构解决。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地方各级人民政府行政机构的领导职数，按照地方各级人民代表大会和地方各级人民政府组织法的有关规定确定。</w:t>
      </w:r>
    </w:p>
    <w:p>
      <w:pPr>
        <w:pStyle w:val="3"/>
        <w:bidi w:val="0"/>
      </w:pPr>
      <w:r>
        <w:t>第四章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县级以上各级人民政府机构编制管理机关应当按照管理权限，对机构编制管理的执行情况进行监督检查；必要时，可以会同监察机关和其他有关部门对机构编制管理的执行情况进行监督检查。有关组织和个人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县级以上各级人民政府机构编制管理机关实施监督检查时，应当严格执行规定的程序，发现违反本条例规定的行为，应当向本级人民政府提出处理意见和建议。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地方各级人民政府机构编制管理机关，应当如实向上级机构编制管理机关提交机构编制年度统计资料，不得虚报、瞒报、伪造。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县级以上各级人民政府机构编制管理机关应当定期评估机构和编制的执行情况，并将评估结果作为调整机构编制的参考依据。评估的具体办法，由国务院机构编制管理机关制定。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任何组织和个人对违反机构编制管理规定的行为，都有权向机构编制管理机关、监察机关等有关部门举报。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县级以上各级人民政府机构编制管理机关应当接受社会监督。</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有下列行为之一的，由机构编制管理机关给予通报批评，并责令限期改正；情节严重的，对直接负责的主管人员和其他直接责任人员，依法给予处分：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(一)擅自设立、撤销、合并行政机构或者变更规格、名称的；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(二)擅自改变行政机构职责的；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(三)擅自增加编制或者改变编制使用范围的；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(四)超出编制限额调配财政供养人员、为超编人员核拨财政资金或者挪用其他资金安排其经费、以虚报人员等方式占用编制并冒用财政资金的；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(五)擅自超职数、超规格配备领导成员的；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(六)违反规定干预下级人民政府行政机构的设置和编制管理工作的；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(七)违反规定审批机构、编制的；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(八)违反机构编制管理规定的其他行为。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机构编制管理机关工作人员在机构编制管理工作中滥用职权、玩忽职守、徇私舞弊，构成犯罪的，依法追究刑事责任；尚不构成犯罪的，依法给予处分。</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本条例所称编制，是指机构编制管理机关核定的行政机构和事业单位的人员数额和领导职数。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地方的事业单位机构和编制管理办法，由省、自治区、直辖市人民政府机构编制管理机关拟定，报国务院机构编制管理机关审核后，由省、自治区、直辖市人民政府发布。事业编制的全国性标准由国务院机构编制管理机关会同国务院财政部门和其他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本条例自2007年5月1日起施行。</w:t>
      </w:r>
    </w:p>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B60066"/>
    <w:rsid w:val="0B3D0578"/>
    <w:rsid w:val="0D3C4224"/>
    <w:rsid w:val="134A1994"/>
    <w:rsid w:val="155E2CB3"/>
    <w:rsid w:val="18413C16"/>
    <w:rsid w:val="19DB6C33"/>
    <w:rsid w:val="1C9212F7"/>
    <w:rsid w:val="22DD4281"/>
    <w:rsid w:val="26CA1A3A"/>
    <w:rsid w:val="276E0BAE"/>
    <w:rsid w:val="28F8723D"/>
    <w:rsid w:val="2DBE0D65"/>
    <w:rsid w:val="2FF20DF5"/>
    <w:rsid w:val="32252208"/>
    <w:rsid w:val="33CF5811"/>
    <w:rsid w:val="386D21AD"/>
    <w:rsid w:val="3CDF39C7"/>
    <w:rsid w:val="3D762392"/>
    <w:rsid w:val="3F800236"/>
    <w:rsid w:val="40DC5AC3"/>
    <w:rsid w:val="41B857FD"/>
    <w:rsid w:val="4361706F"/>
    <w:rsid w:val="43CA1521"/>
    <w:rsid w:val="444B0E8A"/>
    <w:rsid w:val="47A250A3"/>
    <w:rsid w:val="4EDF3D2B"/>
    <w:rsid w:val="4EED79F5"/>
    <w:rsid w:val="5080370D"/>
    <w:rsid w:val="53BF5C69"/>
    <w:rsid w:val="58035B31"/>
    <w:rsid w:val="58F6185E"/>
    <w:rsid w:val="591257DC"/>
    <w:rsid w:val="5DB22BFD"/>
    <w:rsid w:val="5DD739B2"/>
    <w:rsid w:val="5E900D37"/>
    <w:rsid w:val="5F5011B7"/>
    <w:rsid w:val="60492E1B"/>
    <w:rsid w:val="61152047"/>
    <w:rsid w:val="620467BA"/>
    <w:rsid w:val="622D2BEC"/>
    <w:rsid w:val="649C0E8F"/>
    <w:rsid w:val="65BF6566"/>
    <w:rsid w:val="665D25F4"/>
    <w:rsid w:val="6A403C00"/>
    <w:rsid w:val="6B4C7D1B"/>
    <w:rsid w:val="6DA577A5"/>
    <w:rsid w:val="6DB87D30"/>
    <w:rsid w:val="6E804287"/>
    <w:rsid w:val="73170D08"/>
    <w:rsid w:val="762C29D0"/>
    <w:rsid w:val="769B60FD"/>
    <w:rsid w:val="76C10F77"/>
    <w:rsid w:val="7814798C"/>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2019-06-03T10:28:52Z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