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9C55C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城市公共交通条例</w:t>
      </w:r>
    </w:p>
    <w:p w14:paraId="54BB1AD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E12E2F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为了推动城市公共交通高质量发展，提升城市公共交通服务水平，保障城市公共交通安全，更好满足公众基本出行需求，促进城市现代化建设，制定本条例。</w:t>
      </w:r>
    </w:p>
    <w:p w14:paraId="5B69D9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本条例所称城市公共交通，是指在城市人民政府确定的区域内，利用公共汽电车、城市轨道交通车辆等公共交通工具和有关系统、设施，按照核定的线路、站点、时间、票价等运营，为公众提供基本出行服务。</w:t>
      </w:r>
    </w:p>
    <w:p w14:paraId="1EC126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国家实施城市公共交通优先发展战略，综合采取规划、土地、财政、金融等方面措施，保障城市公共交通发展，增强城市公共交通竞争力和吸引力。</w:t>
      </w:r>
    </w:p>
    <w:p w14:paraId="2A01E56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国家鼓励、引导公众优先选择公共交通作为机动化出行方式。</w:t>
      </w:r>
    </w:p>
    <w:p w14:paraId="25B433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城市公共交通工作应当坚持中国共产党的领导，坚持以人民为中心，坚持城市公共交通公益属性，落实城市公共交通优先发展战略，构建安全、便捷、高效、绿色、经济的城市公共交通体系。</w:t>
      </w:r>
    </w:p>
    <w:p w14:paraId="708BA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城市人民政府是发展城市公共交通的责任主体。</w:t>
      </w:r>
    </w:p>
    <w:p w14:paraId="043D548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城市人民政府应当加强对城市公共交通工作的组织领导，落实城市公共交通发展保障措施，强化对城市公共交通安全的监督管理，统筹研究和协调解决城市公共交通工作中的重大问题。</w:t>
      </w:r>
    </w:p>
    <w:p w14:paraId="4D94B4E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国务院城市公共交通主管部门及其他有关部门和省、自治区人民政府应当加强对城市公共交通工作的指导。</w:t>
      </w:r>
    </w:p>
    <w:p w14:paraId="1FBF0D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城市人民政府应当根据城市功能定位、规模、空间布局、发展目标、公众出行需求等实际情况和特点，与城市土地和空间使用相协调，统筹各种交通方式，科学确定城市公共交通发展目标和发展模式，推动提升城市公共交通在机动化出行中的分担比例。</w:t>
      </w:r>
    </w:p>
    <w:p w14:paraId="6CFF8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承担城市公共交通运营服务的企业（以下简称城市公共交通企业）由城市人民政府或者其城市公共交通主管部门依法确定。</w:t>
      </w:r>
    </w:p>
    <w:p w14:paraId="44096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国家鼓励和支持新技术、新能源、新装备在城市公共交通系统中的推广应用，提高城市公共交通信息化、智能化水平，推动城市公共交通绿色低碳转型，提升运营效率和管理水平。</w:t>
      </w:r>
    </w:p>
    <w:p w14:paraId="627DCCC6">
      <w:pPr>
        <w:rPr>
          <w:rFonts w:ascii="Times New Roman" w:hAnsi="Times New Roman" w:eastAsia="宋体" w:cs="宋体"/>
          <w:szCs w:val="32"/>
        </w:rPr>
      </w:pPr>
    </w:p>
    <w:p w14:paraId="136A0E80">
      <w:pPr>
        <w:jc w:val="center"/>
        <w:rPr>
          <w:rFonts w:ascii="Times New Roman" w:hAnsi="Times New Roman" w:eastAsia="黑体" w:cs="黑体"/>
          <w:szCs w:val="32"/>
        </w:rPr>
      </w:pPr>
      <w:r>
        <w:rPr>
          <w:rFonts w:hint="eastAsia" w:ascii="Times New Roman" w:hAnsi="Times New Roman" w:eastAsia="黑体" w:cs="黑体"/>
          <w:szCs w:val="32"/>
        </w:rPr>
        <w:t>第二章　发展保障</w:t>
      </w:r>
    </w:p>
    <w:p w14:paraId="098D7E0C">
      <w:pPr>
        <w:rPr>
          <w:rFonts w:ascii="Times New Roman" w:hAnsi="Times New Roman" w:eastAsia="宋体" w:cs="宋体"/>
          <w:szCs w:val="32"/>
        </w:rPr>
      </w:pPr>
    </w:p>
    <w:p w14:paraId="1EDC74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城市综合交通体系规划应当明确公共交通优先发展原则，统筹城市交通基础设施建设，合理配置和利用各种交通资源，强化各种交通方式的衔接协调。城市人民政府根据实际情况和需要组织编制城市公共交通规划。</w:t>
      </w:r>
    </w:p>
    <w:p w14:paraId="7471A1C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建设城市轨道交通系统的城市应当按照国家有关规定编制城市轨道交通线网规划和建设规划。</w:t>
      </w:r>
    </w:p>
    <w:p w14:paraId="444BDB1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城市综合交通体系规划、城市公共交通规划、城市轨道交通线网规划和建设规划应当与国土空间规划相衔接，将涉及土地和空间使用的合理需求纳入国土空间规划实施监督系统统筹保障。</w:t>
      </w:r>
    </w:p>
    <w:p w14:paraId="60EBC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城市人民政府有关部门应当根据相关规划以及城市发展和公众出行需求情况，合理确定城市公共交通线路，布局公共交通场站等设施，提高公共交通覆盖率。</w:t>
      </w:r>
    </w:p>
    <w:p w14:paraId="41D029B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城市人民政府应当组织有关部门开展公众出行调查，作为优化城市公共交通线路和场站布局的依据。</w:t>
      </w:r>
    </w:p>
    <w:p w14:paraId="6508E5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新建、改建、扩建居住区、交通枢纽、学校、医院、体育场馆、商业中心等大型建设项目，应当统筹考虑公共交通出行需求；建设项目批准、核准文件要求配套建设城市公共交通基础设施的，建设单位应当按照要求建设相关设施并同步投入使用。</w:t>
      </w:r>
    </w:p>
    <w:p w14:paraId="4D653DB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城市公共交通基础设施建设应当符合无障碍环境建设要求，并与适老化改造相结合。</w:t>
      </w:r>
    </w:p>
    <w:p w14:paraId="077FB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城市人民政府应当依法保障城市公共交通基础设施用地。城市公共交通基础设施用地符合规定条件的，可以以划拨、协议出让等方式供给。</w:t>
      </w:r>
    </w:p>
    <w:p w14:paraId="7580BA54">
      <w:pPr>
        <w:ind w:firstLine="632" w:firstLineChars="200"/>
        <w:rPr>
          <w:rFonts w:ascii="Times New Roman" w:hAnsi="Times New Roman" w:cs="仿宋_GB2312"/>
          <w:sz w:val="32"/>
          <w:szCs w:val="32"/>
        </w:rPr>
      </w:pPr>
      <w:r>
        <w:rPr>
          <w:rFonts w:hint="eastAsia" w:ascii="Times New Roman" w:hAnsi="Times New Roman" w:cs="仿宋_GB2312"/>
          <w:sz w:val="32"/>
          <w:szCs w:val="32"/>
        </w:rPr>
        <w:t>在符合国土空间规划和用途管制要求且不影响城市公共交通功能和规模的前提下，对城市公共交通基础设施用地可以按照国家有关规定实施综合开发，支持城市公共交通发展。</w:t>
      </w:r>
    </w:p>
    <w:p w14:paraId="00B0F3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城市人民政府应当根据城市公共交通实际和财政承受能力安排城市公共交通发展所需经费，并纳入本级预算。</w:t>
      </w:r>
    </w:p>
    <w:p w14:paraId="28D343C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国家鼓励、引导金融机构提供与城市公共交通发展相适应的金融服务，加大对城市公共交通发展的融资支持力度。</w:t>
      </w:r>
    </w:p>
    <w:p w14:paraId="16767D2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国家鼓励和支持社会资本依法参与城市公共交通基础设施建设运营，保障其合法权益。</w:t>
      </w:r>
    </w:p>
    <w:p w14:paraId="7150CA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城市公共交通票价依法实行政府定价或者政府指导价，并建立动态调整机制。鼓励根据城市公共交通服务质量、运输距离以及换乘方式等因素，建立多层次、差别化的城市公共交通票价体系。</w:t>
      </w:r>
    </w:p>
    <w:p w14:paraId="6E180074">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制定、调整城市公共交通票价，应当统筹考虑企业运营成本、社会承受能力、交通供求状况等因素，并依法履行定价成本监审等程序。</w:t>
      </w:r>
    </w:p>
    <w:p w14:paraId="7B039D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城市公共交通企业在保障公众基本出行的前提下，可以开展定制化出行服务业务。定制化出行服务业务可以实行市场调节价。</w:t>
      </w:r>
    </w:p>
    <w:p w14:paraId="6DF00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城市人民政府应当组织有关部门，在对城市公共交通企业开展运营服务质量评价和成本费用年度核算报告审核的基础上，综合考虑财政承受能力、企业增收节支空间等因素，按照规定及时给予补贴补偿。</w:t>
      </w:r>
    </w:p>
    <w:p w14:paraId="0671DE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城市人民政府可以根据实际情况和需要，按照统筹公共交通效率和整体交通效率、集约利用城市道路资源的原则，设置公共交通专用车道，并实行科学管理和动态调整。</w:t>
      </w:r>
    </w:p>
    <w:p w14:paraId="46AFF72F">
      <w:pPr>
        <w:rPr>
          <w:rFonts w:ascii="Times New Roman" w:hAnsi="Times New Roman" w:eastAsia="宋体" w:cs="宋体"/>
          <w:szCs w:val="32"/>
        </w:rPr>
      </w:pPr>
    </w:p>
    <w:p w14:paraId="2882F474">
      <w:pPr>
        <w:jc w:val="center"/>
        <w:rPr>
          <w:rFonts w:ascii="Times New Roman" w:hAnsi="Times New Roman" w:eastAsia="黑体" w:cs="黑体"/>
          <w:szCs w:val="32"/>
        </w:rPr>
      </w:pPr>
      <w:r>
        <w:rPr>
          <w:rFonts w:hint="eastAsia" w:ascii="Times New Roman" w:hAnsi="Times New Roman" w:eastAsia="黑体" w:cs="黑体"/>
          <w:szCs w:val="32"/>
        </w:rPr>
        <w:t>第三章　运营服务</w:t>
      </w:r>
    </w:p>
    <w:p w14:paraId="3005B0E4">
      <w:pPr>
        <w:rPr>
          <w:rFonts w:ascii="Times New Roman" w:hAnsi="Times New Roman" w:eastAsia="宋体" w:cs="宋体"/>
          <w:szCs w:val="32"/>
        </w:rPr>
      </w:pPr>
    </w:p>
    <w:p w14:paraId="6F2826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城市人民政府城市公共交通主管部门应当通过与城市公共交通企业签订运营服务协议等方式，明确城市公共交通运营有关服务标准、规范、要求以及运营服务质量评价等事项。</w:t>
      </w:r>
    </w:p>
    <w:p w14:paraId="2060A29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城市公共交通企业应当遵守城市公共交通运营有关服务标准、规范、要求等，加强企业内部管理，不断提高运营服务质量和效率。</w:t>
      </w:r>
    </w:p>
    <w:p w14:paraId="5D2A8D0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城市公共交通企业不得将其运营的城市公共交通线路转让、出租或者变相转让、出租给他人运营。</w:t>
      </w:r>
    </w:p>
    <w:p w14:paraId="4C2C65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城市公共交通企业应当按照运营服务协议或者城市人民政府城市公共交通主管部门的要求配备城市公共交通车辆，并按照规定设置车辆运营服务标识。</w:t>
      </w:r>
    </w:p>
    <w:p w14:paraId="13FC07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城市公共交通企业应当通过便于公众知晓的方式，及时公开运营线路、停靠站点、运营时间、发车间隔、票价等信息。鼓励城市公共交通企业通过电子站牌、出行信息服务系统等信息化手段为公众提供信息查询服务。</w:t>
      </w:r>
    </w:p>
    <w:p w14:paraId="5EC1C3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城市公共交通企业应当加强运营调度管理，在保障安全的前提下提高运行准点率和运行效率。</w:t>
      </w:r>
    </w:p>
    <w:p w14:paraId="53BB3C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公共交通企业不得擅自变更运营线路、停靠站点、运营时间或者中断运营服务；因特殊原因需要临时变更运营线路、停靠站点、运营时间或者暂时中断运营服务的，除发生突发事件或者为保障运营安全等采取紧急措施外，应当提前向社会公告，并向城市人民政府城市公共交通主管部门报告。</w:t>
      </w:r>
    </w:p>
    <w:p w14:paraId="7C5CC7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因大型群众性活动等情形出现公共交通客流集中、正常运营服务安排难以满足需求的，城市公共交通企业应当按照城市人民政府城市公共交通主管部门的要求，及时采取增开临时班次、缩短发车间隔、延长运营时间等措施，保障运营服务。</w:t>
      </w:r>
    </w:p>
    <w:p w14:paraId="24B88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乘客应当按照票价支付票款；对拒不支付票款的，城市公共交通企业可以拒绝其进站乘车。</w:t>
      </w:r>
    </w:p>
    <w:p w14:paraId="7A5CD75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城市公共交通企业应当依照法律、法规和国家有关规定，对相关群体乘坐公共交通工具提供便利和优待。</w:t>
      </w:r>
    </w:p>
    <w:p w14:paraId="59A3BB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城市公共交通企业应当建立运营服务质量投诉处理机制并向社会公布，及时妥善处理乘客提出的投诉，并向乘客反馈处理结果；乘客对处理结果不满意的，可以向城市人民政府城市公共交通主管部门申诉，城市人民政府城市公共交通主管部门应当及时作出答复。乘客也可以直接就运营服务质量问题向城市人民政府城市公共交通主管部门投诉。</w:t>
      </w:r>
    </w:p>
    <w:p w14:paraId="79B574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城市人民政府城市公共交通主管部门应当定期组织开展城市公共交通企业运营服务质量评价，并将评价结果向社会公布。</w:t>
      </w:r>
    </w:p>
    <w:p w14:paraId="1FE47B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未经城市人民政府同意，城市公共交通企业不得终止运营服务；因破产、解散终止运营服务的，应当提前30日向城市人民政府城市公共交通主管部门报告，城市人民政府城市公共交通主管部门应当及时采取指定临时运营服务企业、调配运营车辆等措施，确保运营服务不中断；需要重新确定承担城市公共交通运营服务企业的，城市人民政府或者其城市公共交通主管部门应当按照规定及时确定。</w:t>
      </w:r>
    </w:p>
    <w:p w14:paraId="7E49829D">
      <w:pPr>
        <w:rPr>
          <w:rFonts w:ascii="Times New Roman" w:hAnsi="Times New Roman" w:eastAsia="宋体" w:cs="宋体"/>
          <w:szCs w:val="32"/>
        </w:rPr>
      </w:pPr>
    </w:p>
    <w:p w14:paraId="4DD1A9DB">
      <w:pPr>
        <w:jc w:val="center"/>
        <w:rPr>
          <w:rFonts w:ascii="Times New Roman" w:hAnsi="Times New Roman" w:eastAsia="黑体" w:cs="黑体"/>
          <w:szCs w:val="32"/>
        </w:rPr>
      </w:pPr>
      <w:r>
        <w:rPr>
          <w:rFonts w:hint="eastAsia" w:ascii="Times New Roman" w:hAnsi="Times New Roman" w:eastAsia="黑体" w:cs="黑体"/>
          <w:szCs w:val="32"/>
        </w:rPr>
        <w:t>第四章　安全管理</w:t>
      </w:r>
    </w:p>
    <w:p w14:paraId="4FCC6232">
      <w:pPr>
        <w:rPr>
          <w:rFonts w:ascii="Times New Roman" w:hAnsi="Times New Roman" w:eastAsia="宋体" w:cs="宋体"/>
          <w:szCs w:val="32"/>
        </w:rPr>
      </w:pPr>
    </w:p>
    <w:p w14:paraId="558E8B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城市公共交通企业应当遵守有关安全生产的法律、法规和标准，落实全员安全生产责任，建立健全安全生产管理制度和安全生产责任制，保障安全经费投入，构建安全风险分级管控和隐患排查治理双重预防机制，增强突发事件防范和应急能力。</w:t>
      </w:r>
    </w:p>
    <w:p w14:paraId="017A54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城市公共交通建设工程的勘察、设计、施工、监理应当遵守有关建设工程管理的法律、法规和标准。</w:t>
      </w:r>
    </w:p>
    <w:p w14:paraId="06A8957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城市公共交通建设工程涉及公共安全的设施应当与主体工程同步规划、同步建设、同步投入使用。</w:t>
      </w:r>
    </w:p>
    <w:p w14:paraId="50E716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城市公共交通企业投入运营的车辆应当依法经检验合格，并按照国家有关标准配备灭火器、安全锤以及安全隔离、紧急报警、车门紧急开启等安全设备，设置明显的安全警示标志。</w:t>
      </w:r>
    </w:p>
    <w:p w14:paraId="0406DA1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城市公共交通企业应当按照国家有关标准对车辆和有关系统、设施设备进行维护、保养，确保性能良好和安全运行。</w:t>
      </w:r>
    </w:p>
    <w:p w14:paraId="70719F01">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利用城市公共交通车辆或者设施设备设置广告的，应当遵守有关广告管理的法律、法规，不得影响城市公共交通运营安全。</w:t>
      </w:r>
    </w:p>
    <w:p w14:paraId="12C8E0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城市公共交通企业直接涉及运营安全的驾驶员、乘务员、调度员、值班员、信号工、通信工等重点岗位人员（以下统称重点岗位人员），应当符合下列条件：</w:t>
      </w:r>
    </w:p>
    <w:p w14:paraId="262893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（一）具有履行岗位职责的能力；</w:t>
      </w:r>
    </w:p>
    <w:p w14:paraId="0795AFA0">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（二）无可能危及运营安全的疾病；</w:t>
      </w:r>
    </w:p>
    <w:p w14:paraId="59AEF448">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（三）无暴力犯罪和吸毒行为记录；</w:t>
      </w:r>
    </w:p>
    <w:p w14:paraId="716F02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（四）国务院城市公共交通主管部门规定的其他条件。</w:t>
      </w:r>
    </w:p>
    <w:p w14:paraId="25EA3948">
      <w:pPr>
        <w:ind w:firstLine="632" w:firstLineChars="200"/>
        <w:rPr>
          <w:rFonts w:ascii="Times New Roman" w:hAnsi="Times New Roman" w:cs="仿宋_GB2312"/>
          <w:sz w:val="32"/>
          <w:szCs w:val="32"/>
        </w:rPr>
      </w:pPr>
      <w:r>
        <w:rPr>
          <w:rFonts w:hint="eastAsia" w:ascii="Times New Roman" w:hAnsi="Times New Roman" w:cs="仿宋_GB2312"/>
          <w:sz w:val="32"/>
          <w:szCs w:val="32"/>
        </w:rPr>
        <w:t>除符合前款规定条件外，城市公共汽电车驾驶员还应当取得相应准驾车型机动车驾驶证，城市轨道交通列车驾驶员还应当按照国家有关规定取得相应职业准入资格。</w:t>
      </w:r>
    </w:p>
    <w:p w14:paraId="5732E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城市公共交通企业应当定期对重点岗位人员进行岗位职责、操作规程、服务规范、安全防范和应急处置基本知识等方面的培训和考核，经考核合格的方可上岗作业。培训和考核情况应当建档备查。</w:t>
      </w:r>
    </w:p>
    <w:p w14:paraId="3363D7E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城市公共交通企业应当关注重点岗位人员的身体、心理状况和行为习惯，对重点岗位人员定期组织体检，加强心理疏导，及时采取有效措施防范重点岗位人员身体、心理状况或者行为异常导致运营安全事故发生。</w:t>
      </w:r>
    </w:p>
    <w:p w14:paraId="4FCBB54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城市公共交通企业应当合理安排驾驶员工作时间，防止疲劳驾驶。</w:t>
      </w:r>
    </w:p>
    <w:p w14:paraId="7B8771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城市公共交通企业应当依照有关法律、法规的规定，落实对相关人员进行安全背景审查、配备安保人员和相应设施设备等安全防范责任。</w:t>
      </w:r>
    </w:p>
    <w:p w14:paraId="7C0DFF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城市公共交通企业应当加强对客流状况的日常监测；出现或者可能出现客流大量积压时，应当及时采取疏导措施，必要时可以采取临时限制客流或者临时封站等措施，确保运营安全。</w:t>
      </w:r>
    </w:p>
    <w:p w14:paraId="5CE50E3D">
      <w:pPr>
        <w:ind w:firstLine="632" w:firstLineChars="200"/>
        <w:rPr>
          <w:rFonts w:ascii="Times New Roman" w:hAnsi="Times New Roman" w:cs="仿宋_GB2312"/>
          <w:sz w:val="32"/>
          <w:szCs w:val="32"/>
        </w:rPr>
      </w:pPr>
      <w:r>
        <w:rPr>
          <w:rFonts w:hint="eastAsia" w:ascii="Times New Roman" w:hAnsi="Times New Roman" w:cs="仿宋_GB2312"/>
          <w:sz w:val="32"/>
          <w:szCs w:val="32"/>
        </w:rPr>
        <w:t>因突发事件或者设施设备故障等原因危及运营安全的，城市公共交通企业可以暂停部分区段或者全线网运营服务，并做好乘客疏导和现场秩序维护等工作。乘客应当按照城市公共交通企业工作人员的指挥和引导有序疏散。</w:t>
      </w:r>
    </w:p>
    <w:p w14:paraId="25E83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乘客应当遵守乘车规范，维护乘车秩序。</w:t>
      </w:r>
    </w:p>
    <w:p w14:paraId="32203006">
      <w:pPr>
        <w:ind w:firstLine="632" w:firstLineChars="200"/>
        <w:rPr>
          <w:rFonts w:ascii="Times New Roman" w:hAnsi="Times New Roman" w:cs="仿宋_GB2312"/>
          <w:sz w:val="32"/>
          <w:szCs w:val="32"/>
        </w:rPr>
      </w:pPr>
      <w:r>
        <w:rPr>
          <w:rFonts w:hint="eastAsia" w:ascii="Times New Roman" w:hAnsi="Times New Roman" w:cs="仿宋_GB2312"/>
          <w:sz w:val="32"/>
          <w:szCs w:val="32"/>
        </w:rPr>
        <w:t>乘客不得携带易燃、易爆、毒害性、放射性、腐蚀性以及其他可能危及人身和财产安全的危险物品进站乘车；乘客坚持携带的，城市公共交通企业应当拒绝其进站乘车。</w:t>
      </w:r>
    </w:p>
    <w:p w14:paraId="09C7395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城市轨道交通运营单位应当按照国家有关规定，对进入城市轨道交通车站的人员及其携带物品进行安全检查；对拒不接受安全检查的，应当拒绝其进站乘车。安全检查应当遵守有关操作规范，提高质量和效率。</w:t>
      </w:r>
    </w:p>
    <w:p w14:paraId="2F45BC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任何单位和个人不得实施下列危害城市公共交通运营安全的行为：</w:t>
      </w:r>
    </w:p>
    <w:p w14:paraId="62B25A4B">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（一）非法拦截或者强行上下城市公共交通车辆；</w:t>
      </w:r>
    </w:p>
    <w:p w14:paraId="3E384C57">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（二）非法占用城市公共交通场站或者出入口；</w:t>
      </w:r>
    </w:p>
    <w:p w14:paraId="55D80D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（三）擅自进入城市轨道交通线路、车辆基地、控制中心、列车驾驶室或者其他禁止非工作人员进入的区域；</w:t>
      </w:r>
    </w:p>
    <w:p w14:paraId="719D10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（四）向城市公共交通车辆投掷物品或者在城市轨道交通线路上放置障碍物；</w:t>
      </w:r>
    </w:p>
    <w:p w14:paraId="60FF1478">
      <w:pPr>
        <w:ind w:firstLine="632" w:firstLineChars="200"/>
        <w:rPr>
          <w:rFonts w:ascii="Times New Roman" w:hAnsi="Times New Roman" w:cs="仿宋_GB2312"/>
          <w:sz w:val="32"/>
          <w:szCs w:val="32"/>
        </w:rPr>
      </w:pPr>
      <w:r>
        <w:rPr>
          <w:rFonts w:hint="eastAsia" w:ascii="Times New Roman" w:hAnsi="Times New Roman" w:cs="仿宋_GB2312"/>
          <w:sz w:val="32"/>
          <w:szCs w:val="32"/>
        </w:rPr>
        <w:t>（五）故意损坏或者擅自移动、遮挡城市公共交通站牌、安全警示标志、监控设备、安全防护设备；</w:t>
      </w:r>
    </w:p>
    <w:p w14:paraId="5356217E">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（六）在非紧急状态下擅自操作有安全警示标志的安全设备；</w:t>
      </w:r>
    </w:p>
    <w:p w14:paraId="76F51980">
      <w:pPr>
        <w:ind w:firstLine="632" w:firstLineChars="200"/>
        <w:rPr>
          <w:rFonts w:ascii="Times New Roman" w:hAnsi="Times New Roman" w:cs="仿宋_GB2312"/>
          <w:sz w:val="32"/>
          <w:szCs w:val="32"/>
        </w:rPr>
      </w:pPr>
      <w:r>
        <w:rPr>
          <w:rFonts w:hint="eastAsia" w:ascii="Times New Roman" w:hAnsi="Times New Roman" w:cs="仿宋_GB2312"/>
          <w:sz w:val="32"/>
          <w:szCs w:val="32"/>
        </w:rPr>
        <w:t>（七）干扰、阻碍城市公共交通车辆驾驶员安全驾驶；</w:t>
      </w:r>
    </w:p>
    <w:p w14:paraId="134146E1">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（八）其他危害城市公共交通运营安全的行为。</w:t>
      </w:r>
    </w:p>
    <w:p w14:paraId="3B777B1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城市公共交通企业发现前款规定行为的，应当及时予以制止，并采取措施消除安全隐患，必要时报请有关部门依法处理。</w:t>
      </w:r>
    </w:p>
    <w:p w14:paraId="2AABE3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城市人民政府有关部门应当按照职责分工，加强对城市公共交通运营安全的监督管理，建立城市公共交通运营安全工作协作机制。</w:t>
      </w:r>
    </w:p>
    <w:p w14:paraId="6C0D23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城市人民政府城市公共交通主管部门应当会同有关部门制定城市公共交通应急预案，报城市人民政府批准。</w:t>
      </w:r>
    </w:p>
    <w:p w14:paraId="3A397F5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城市公共交通企业应当根据城市公共交通应急预案，制定本单位应急预案，报城市人民政府城市公共交通主管部门、应急管理部门备案，并定期组织演练。</w:t>
      </w:r>
    </w:p>
    <w:p w14:paraId="33A6575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城市人民政府应当加强城市公共交通应急能力建设，组织有关部门、城市公共交通企业和其他有关单位联合开展城市公共交通应急处置演练，提高突发事件应急处置能力。</w:t>
      </w:r>
    </w:p>
    <w:p w14:paraId="56C919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城市人民政府应当健全有关部门与城市公共交通企业之间的信息共享机制。城市人民政府城市公共交通主管部门、城市公共交通企业应当加强与有关部门的沟通，及时掌握气象、自然灾害、公共安全等方面可能影响城市公共交通运营安全的信息，并采取有针对性的安全防范措施。有关部门应当予以支持、配合。</w:t>
      </w:r>
    </w:p>
    <w:p w14:paraId="2F3D30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城市人民政府应当将城市轨道交通纳入城市防灾减灾规划，完善城市轨道交通防范水淹、火灾、冰雪、雷击、风暴等设计和论证，提高城市轨道交通灾害防范应对能力。</w:t>
      </w:r>
    </w:p>
    <w:p w14:paraId="40B490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城市轨道交通建设单位组织编制城市轨道交通建设工程可行性研究报告和初步设计文件，应当落实国家有关公共安全和运营服务的要求。</w:t>
      </w:r>
    </w:p>
    <w:p w14:paraId="0C979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城市轨道交通建设工程项目依法经验收合格后，城市人民政府城市公共交通主管部门应当组织开展运营前安全评估，通过安全评估的方可投入运营。城市轨道交通建设单位和运营单位应当按照国家有关规定办理建设和运营交接手续。</w:t>
      </w:r>
    </w:p>
    <w:p w14:paraId="50235E3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城市轨道交通建设工程项目验收以及建设和运营交接的管理办法由国务院住房城乡建设主管部门会同国务院城市公共交通主管部门制定。</w:t>
      </w:r>
    </w:p>
    <w:p w14:paraId="70746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城市人民政府应当组织有关部门划定城市轨道交通线路安全保护区，制定安全保护区管理制度。</w:t>
      </w:r>
    </w:p>
    <w:p w14:paraId="19096946">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轨道交通线路安全保护区内进行作业的，应当征得城市轨道交通运营单位同意。作业单位应当制定和落实安全防护方案，并在作业过程中对作业影响区域进行动态监测，及时发现并消除安全隐患。城市轨道交通运营单位可以进入作业现场进行巡查，发现作业危及或者可能危及城市轨道交通运营安全的，应当要求作业单位采取措施消除安全隐患或者停止作业。</w:t>
      </w:r>
    </w:p>
    <w:p w14:paraId="0CA1AF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城市人民政府城市公共交通主管部门应当定期组织开展城市轨道交通运营安全第三方评估，督促运营单位及时发现并消除安全隐患。</w:t>
      </w:r>
    </w:p>
    <w:p w14:paraId="7008CA7E">
      <w:pPr>
        <w:rPr>
          <w:rFonts w:ascii="Times New Roman" w:hAnsi="Times New Roman" w:eastAsia="宋体" w:cs="宋体"/>
          <w:szCs w:val="32"/>
        </w:rPr>
      </w:pPr>
    </w:p>
    <w:p w14:paraId="01E5705E">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DC5BAA4">
      <w:pPr>
        <w:rPr>
          <w:rFonts w:ascii="Times New Roman" w:hAnsi="Times New Roman" w:eastAsia="宋体" w:cs="宋体"/>
          <w:szCs w:val="32"/>
        </w:rPr>
      </w:pPr>
    </w:p>
    <w:p w14:paraId="48ADC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城市公共交通企业以外的单位或者个人擅自从事城市公共交通线路运营的，由城市人民政府城市公共交通主管部门责令停止运营，没收违法所得，并处违法所得1倍以上5倍以下的罚款；没有违法所得或者违法所得不足1万元的，处1万元以上5万元以下的罚款。</w:t>
      </w:r>
    </w:p>
    <w:p w14:paraId="252C9BF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城市公共交通企业将其运营的城市公共交通线路转让、出租或者变相转让、出租给他人运营的，由城市人民政府城市公共交通主管部门责令改正，并依照前款规定处罚。</w:t>
      </w:r>
    </w:p>
    <w:p w14:paraId="6C1A89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城市公共交通企业有下列行为之一的，由城市人民政府城市公共交通主管部门责令改正；拒不改正的，处1万元以上5万元以下的罚款：</w:t>
      </w:r>
    </w:p>
    <w:p w14:paraId="6F06FEB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（一）未遵守城市公共交通运营有关服务标准、规范、要求；</w:t>
      </w:r>
    </w:p>
    <w:p w14:paraId="5C0E8D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（二）未按照规定配备城市公共交通车辆或者设置车辆运营服务标识；</w:t>
      </w:r>
    </w:p>
    <w:p w14:paraId="5DDED04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（三）未公开运营线路、停靠站点、运营时间、发车间隔、票价等信息。</w:t>
      </w:r>
    </w:p>
    <w:p w14:paraId="125BBD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城市公共交通企业擅自变更运营线路、停靠站点、运营时间的，由城市人民政府城市公共交通主管部门责令改正；拒不改正的，处1万元以上5万元以下的罚款。</w:t>
      </w:r>
    </w:p>
    <w:p w14:paraId="77DB221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城市公共交通企业擅自中断运营服务的，由城市人民政府城市公共交通主管部门责令改正；拒不改正的，处5万元以上20万元以下的罚款。</w:t>
      </w:r>
    </w:p>
    <w:p w14:paraId="406091E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因特殊原因变更运营线路、停靠站点、运营时间或者暂时中断运营服务，未按照规定向社会公告并向城市人民政府城市公共交通主管部门报告的，由城市人民政府城市公共交通主管部门责令改正，可以处1万元以下的罚款。</w:t>
      </w:r>
    </w:p>
    <w:p w14:paraId="78186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城市公共交通企业违反本条例规定，未经城市人民政府同意终止运营服务的，由城市人民政府城市公共交通主管部门责令改正；拒不改正的，处10万元以上50万元以下的罚款。</w:t>
      </w:r>
    </w:p>
    <w:p w14:paraId="1BE522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城市公共交通企业有下列行为之一的，由城市人民政府城市公共交通主管部门责令改正，可以处5万元以下的罚款，有违法所得的，没收违法所得；拒不改正的，处5万元以上20万元以下的罚款：</w:t>
      </w:r>
    </w:p>
    <w:p w14:paraId="038200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（一）利用城市公共交通车辆或者设施设备设置广告，影响城市公共交通运营安全；</w:t>
      </w:r>
    </w:p>
    <w:p w14:paraId="45D1A48A">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（二）重点岗位人员不符合规定条件或者未按照规定对重点岗位人员进行培训和考核，或者安排考核不合格的重点岗位人员上岗作业。</w:t>
      </w:r>
    </w:p>
    <w:p w14:paraId="796C87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在城市轨道交通线路安全保护区内进行作业的单位有下列行为之一的，由城市人民政府城市公共交通主管部门责令改正，暂时停止作业，可以处5万元以下的罚款；拒不改正的，责令停止作业，并处5万元以上20万元以下的罚款；造成城市轨道交通设施损坏或者影响运营安全的，并处20万元以上100万元以下的罚款：</w:t>
      </w:r>
    </w:p>
    <w:p w14:paraId="70FFE9C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（一）未征得城市轨道交通运营单位同意进行作业；</w:t>
      </w:r>
    </w:p>
    <w:p w14:paraId="24C28F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（二）未制定和落实安全防护方案；</w:t>
      </w:r>
    </w:p>
    <w:p w14:paraId="5B77FF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（三）未在作业过程中对作业影响区域进行动态监测或者未及时消除发现的安全隐患。</w:t>
      </w:r>
    </w:p>
    <w:p w14:paraId="543AA2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城市人民政府及其城市公共交通主管部门、其他有关部门的工作人员在城市公共交通工作中滥用职权、玩忽职守、徇私舞弊的，依法给予处分。</w:t>
      </w:r>
    </w:p>
    <w:p w14:paraId="379193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违反本条例规定，构成违反治安管理行为的，由公安机关依法给予治安管理处罚；构成犯罪的，依法追究刑事责任。</w:t>
      </w:r>
    </w:p>
    <w:p w14:paraId="566610FC">
      <w:pPr>
        <w:rPr>
          <w:rFonts w:ascii="Times New Roman" w:hAnsi="Times New Roman" w:eastAsia="宋体" w:cs="宋体"/>
          <w:szCs w:val="32"/>
        </w:rPr>
      </w:pPr>
    </w:p>
    <w:p w14:paraId="449C6C21">
      <w:pPr>
        <w:jc w:val="center"/>
        <w:rPr>
          <w:rFonts w:ascii="Times New Roman" w:hAnsi="Times New Roman" w:eastAsia="黑体" w:cs="黑体"/>
          <w:szCs w:val="32"/>
        </w:rPr>
      </w:pPr>
      <w:r>
        <w:rPr>
          <w:rFonts w:hint="eastAsia" w:ascii="Times New Roman" w:hAnsi="Times New Roman" w:eastAsia="黑体" w:cs="黑体"/>
          <w:szCs w:val="32"/>
        </w:rPr>
        <w:t>第六章　附　　</w:t>
      </w:r>
      <w:bookmarkStart w:id="0" w:name="_GoBack"/>
      <w:bookmarkEnd w:id="0"/>
      <w:r>
        <w:rPr>
          <w:rFonts w:hint="eastAsia" w:ascii="Times New Roman" w:hAnsi="Times New Roman" w:eastAsia="黑体" w:cs="黑体"/>
          <w:szCs w:val="32"/>
        </w:rPr>
        <w:t>则</w:t>
      </w:r>
    </w:p>
    <w:p w14:paraId="4319B380">
      <w:pPr>
        <w:rPr>
          <w:rFonts w:ascii="Times New Roman" w:hAnsi="Times New Roman" w:eastAsia="宋体" w:cs="宋体"/>
          <w:szCs w:val="32"/>
        </w:rPr>
      </w:pPr>
    </w:p>
    <w:p w14:paraId="5CE12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用于公共交通服务的城市轮渡，参照本条例的有关规定执行。</w:t>
      </w:r>
    </w:p>
    <w:p w14:paraId="5F648D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城市人民政府根据城乡融合和区域协调发展需要，统筹推进城乡之间、区域之间公共交通一体化发展。</w:t>
      </w:r>
    </w:p>
    <w:p w14:paraId="4DC37D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A77C1C"/>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6941</Words>
  <Characters>6954</Characters>
  <Lines>87</Lines>
  <Paragraphs>24</Paragraphs>
  <TotalTime>67</TotalTime>
  <ScaleCrop>false</ScaleCrop>
  <LinksUpToDate>false</LinksUpToDate>
  <CharactersWithSpaces>7019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2024-10-25T06:39:50Z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30BA6D1AF37946A7A3E6FFCDD1558B4C_13</vt:lpwstr>
  </property>
  <property fmtid="{D5CDD505-2E9C-101B-9397-08002B2CF9AE}" pid="3" name="KSOProductBuildVer">
    <vt:lpwstr>2052-12.1.0.18608</vt:lpwstr>
  </property>
</Properties>
</file>