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7D5" w:rsidRDefault="004957D5">
      <w:pPr>
        <w:pStyle w:val="a3"/>
        <w:jc w:val="center"/>
        <w:rPr>
          <w:rFonts w:ascii="Times New Roman" w:hAnsi="Times New Roman" w:cs="Times New Roman"/>
          <w:sz w:val="44"/>
          <w:szCs w:val="44"/>
        </w:rPr>
      </w:pPr>
    </w:p>
    <w:p w:rsidR="004957D5" w:rsidRDefault="00CC52D5">
      <w:pPr>
        <w:pStyle w:val="a3"/>
        <w:jc w:val="center"/>
        <w:rPr>
          <w:rFonts w:ascii="Times New Roman" w:hAnsi="Times New Roman" w:cs="Times New Roman"/>
          <w:sz w:val="44"/>
          <w:szCs w:val="44"/>
        </w:rPr>
      </w:pPr>
      <w:r>
        <w:rPr>
          <w:rFonts w:ascii="Times New Roman" w:hAnsi="Times New Roman" w:cs="Times New Roman"/>
          <w:sz w:val="44"/>
          <w:szCs w:val="44"/>
        </w:rPr>
        <w:t>基本农田保护条例</w:t>
      </w:r>
    </w:p>
    <w:p w:rsidR="004957D5" w:rsidRDefault="004957D5">
      <w:pPr>
        <w:pStyle w:val="a3"/>
        <w:ind w:firstLineChars="200" w:firstLine="640"/>
        <w:rPr>
          <w:rFonts w:ascii="Times New Roman" w:eastAsia="楷体_GB2312" w:hAnsi="Times New Roman" w:cs="Times New Roman"/>
          <w:sz w:val="32"/>
          <w:szCs w:val="32"/>
        </w:rPr>
      </w:pPr>
    </w:p>
    <w:p w:rsidR="004957D5" w:rsidRDefault="00CC52D5">
      <w:pPr>
        <w:pStyle w:val="a3"/>
        <w:ind w:firstLineChars="200" w:firstLine="640"/>
        <w:rPr>
          <w:rFonts w:ascii="Times New Roman" w:hAnsi="Times New Roman" w:cs="Times New Roman"/>
          <w:sz w:val="32"/>
          <w:szCs w:val="32"/>
        </w:rPr>
      </w:pP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257</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4957D5" w:rsidRDefault="00CC52D5">
      <w:pPr>
        <w:pStyle w:val="2"/>
        <w:jc w:val="center"/>
        <w:rPr>
          <w:rFonts w:ascii="方正黑体_GBK" w:eastAsia="方正黑体_GBK"/>
        </w:rPr>
      </w:pPr>
      <w:r>
        <w:rPr>
          <w:rFonts w:ascii="方正黑体_GBK" w:eastAsia="方正黑体_GBK" w:hAnsi="Times New Roman" w:cs="Times New Roman" w:hint="eastAsia"/>
        </w:rPr>
        <w:t>第一章　总则</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A94C57">
        <w:rPr>
          <w:rFonts w:ascii="仿宋_GB2312" w:eastAsia="仿宋_GB2312" w:hAnsi="Times New Roman" w:cs="Times New Roman" w:hint="eastAsia"/>
          <w:sz w:val="32"/>
          <w:szCs w:val="32"/>
        </w:rPr>
        <w:t>为了对基本农田实行特殊保护，促进农业生产和社会经济的可持续发展，根据《中</w:t>
      </w:r>
      <w:bookmarkStart w:id="0" w:name="_GoBack"/>
      <w:bookmarkEnd w:id="0"/>
      <w:r w:rsidRPr="00A94C57">
        <w:rPr>
          <w:rFonts w:ascii="仿宋_GB2312" w:eastAsia="仿宋_GB2312" w:hAnsi="Times New Roman" w:cs="Times New Roman" w:hint="eastAsia"/>
          <w:sz w:val="32"/>
          <w:szCs w:val="32"/>
        </w:rPr>
        <w:t>华人民共和国农业法》和《中华人民共和国土地管理法》，制定本条例。</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A94C57">
        <w:rPr>
          <w:rFonts w:ascii="仿宋_GB2312" w:eastAsia="仿宋_GB2312" w:hAnsi="Times New Roman" w:cs="Times New Roman" w:hint="eastAsia"/>
          <w:sz w:val="32"/>
          <w:szCs w:val="32"/>
        </w:rPr>
        <w:t>国家实行基本农田保护制度。</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本条例所称基本农田，是指按照一定时期人口和社会经济发展对农产品的需求，依据土地利用总体规划确定的不得占用的耕地。</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本条例所称基本农田保护区，是指为对基本农田实行特殊保护而依据土地利用总体规划和依照法定程序确定的特定保护区域。</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A94C57">
        <w:rPr>
          <w:rFonts w:ascii="仿宋_GB2312" w:eastAsia="仿宋_GB2312" w:hAnsi="Times New Roman" w:cs="Times New Roman" w:hint="eastAsia"/>
          <w:sz w:val="32"/>
          <w:szCs w:val="32"/>
        </w:rPr>
        <w:t>基本农田保护实行全面规划、合理利用、用养结合、严格保护的方针。</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A94C57">
        <w:rPr>
          <w:rFonts w:ascii="仿宋_GB2312" w:eastAsia="仿宋_GB2312" w:hAnsi="Times New Roman" w:cs="Times New Roman" w:hint="eastAsia"/>
          <w:sz w:val="32"/>
          <w:szCs w:val="32"/>
        </w:rPr>
        <w:t>县级以上地方各级人民政府应当将基本农田保护工作纳入国民经济和社会发展计划，作为政府领导任期</w:t>
      </w:r>
      <w:r w:rsidRPr="00A94C57">
        <w:rPr>
          <w:rFonts w:ascii="仿宋_GB2312" w:eastAsia="仿宋_GB2312" w:hAnsi="Times New Roman" w:cs="Times New Roman" w:hint="eastAsia"/>
          <w:sz w:val="32"/>
          <w:szCs w:val="32"/>
        </w:rPr>
        <w:lastRenderedPageBreak/>
        <w:t>目标责任制的一项内容，并由上一级人民政府监督实施。</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A94C57">
        <w:rPr>
          <w:rFonts w:ascii="仿宋_GB2312" w:eastAsia="仿宋_GB2312" w:hAnsi="Times New Roman" w:cs="Times New Roman" w:hint="eastAsia"/>
          <w:sz w:val="32"/>
          <w:szCs w:val="32"/>
        </w:rPr>
        <w:t>任何单位和个人都有保护基本农田的义务，并有权检举、控告侵</w:t>
      </w:r>
      <w:r w:rsidRPr="00A94C57">
        <w:rPr>
          <w:rFonts w:ascii="仿宋_GB2312" w:eastAsia="仿宋_GB2312" w:hAnsi="Times New Roman" w:cs="Times New Roman" w:hint="eastAsia"/>
          <w:sz w:val="32"/>
          <w:szCs w:val="32"/>
        </w:rPr>
        <w:t>占、破坏基本农田和其他违反本条例的行为。</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A94C57">
        <w:rPr>
          <w:rFonts w:ascii="仿宋_GB2312" w:eastAsia="仿宋_GB2312" w:hAnsi="Times New Roman" w:cs="Times New Roman" w:hint="eastAsia"/>
          <w:sz w:val="32"/>
          <w:szCs w:val="32"/>
        </w:rPr>
        <w:t>国务院土地行政主管部门和农业行政主管部门按照国务院规定的职责分工，依照本条例负责全国的基本农田保护管理工作。</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县级以上地方各级人民政府土地行政主管部门和农业行政主管部门按照本级人民政府规定的职责分工，依照本条例负责本行政区域内的基本农田保护管理工作。</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乡</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镇</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人民政府负责本行政区域内的基本农田保护管理工作。</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A94C57">
        <w:rPr>
          <w:rFonts w:ascii="仿宋_GB2312" w:eastAsia="仿宋_GB2312" w:hAnsi="Times New Roman" w:cs="Times New Roman" w:hint="eastAsia"/>
          <w:sz w:val="32"/>
          <w:szCs w:val="32"/>
        </w:rPr>
        <w:t>国家对在基本农田保护工作中取得显著成绩的单位和个人，给予奖励。</w:t>
      </w:r>
    </w:p>
    <w:p w:rsidR="004957D5" w:rsidRDefault="00CC52D5">
      <w:pPr>
        <w:pStyle w:val="2"/>
        <w:jc w:val="center"/>
        <w:rPr>
          <w:rFonts w:ascii="方正黑体_GBK" w:eastAsia="方正黑体_GBK"/>
        </w:rPr>
      </w:pPr>
      <w:r>
        <w:rPr>
          <w:rFonts w:ascii="方正黑体_GBK" w:eastAsia="方正黑体_GBK" w:hAnsi="Times New Roman" w:cs="Times New Roman" w:hint="eastAsia"/>
        </w:rPr>
        <w:t>第二章　划定</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A94C57">
        <w:rPr>
          <w:rFonts w:ascii="仿宋_GB2312" w:eastAsia="仿宋_GB2312" w:hAnsi="Times New Roman" w:cs="Times New Roman" w:hint="eastAsia"/>
          <w:sz w:val="32"/>
          <w:szCs w:val="32"/>
        </w:rPr>
        <w:t>各级人民政府在编制土地利用总体规划时，应当将基本农田保护作</w:t>
      </w:r>
      <w:r w:rsidRPr="00A94C57">
        <w:rPr>
          <w:rFonts w:ascii="仿宋_GB2312" w:eastAsia="仿宋_GB2312" w:hAnsi="Times New Roman" w:cs="Times New Roman" w:hint="eastAsia"/>
          <w:sz w:val="32"/>
          <w:szCs w:val="32"/>
        </w:rPr>
        <w:t>为规划的一项内容，明确基本农田保护的布局安排、数量指标和质量要求。</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县级和乡</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镇</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土地利用总体规划应当确定基本农田保护区。</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A94C57">
        <w:rPr>
          <w:rFonts w:ascii="仿宋_GB2312" w:eastAsia="仿宋_GB2312" w:hAnsi="Times New Roman" w:cs="Times New Roman" w:hint="eastAsia"/>
          <w:sz w:val="32"/>
          <w:szCs w:val="32"/>
        </w:rPr>
        <w:t>省、自治区、直辖市划定的基本农田应当占本</w:t>
      </w:r>
      <w:r w:rsidRPr="00A94C57">
        <w:rPr>
          <w:rFonts w:ascii="仿宋_GB2312" w:eastAsia="仿宋_GB2312" w:hAnsi="Times New Roman" w:cs="Times New Roman" w:hint="eastAsia"/>
          <w:sz w:val="32"/>
          <w:szCs w:val="32"/>
        </w:rPr>
        <w:lastRenderedPageBreak/>
        <w:t>行政区域内耕地总面积的</w:t>
      </w:r>
      <w:r w:rsidRPr="00A94C57">
        <w:rPr>
          <w:rFonts w:ascii="仿宋_GB2312" w:eastAsia="仿宋_GB2312" w:hAnsi="Times New Roman" w:cs="Times New Roman" w:hint="eastAsia"/>
          <w:sz w:val="32"/>
          <w:szCs w:val="32"/>
        </w:rPr>
        <w:t>80%</w:t>
      </w:r>
      <w:r w:rsidRPr="00A94C57">
        <w:rPr>
          <w:rFonts w:ascii="仿宋_GB2312" w:eastAsia="仿宋_GB2312" w:hAnsi="Times New Roman" w:cs="Times New Roman" w:hint="eastAsia"/>
          <w:sz w:val="32"/>
          <w:szCs w:val="32"/>
        </w:rPr>
        <w:t>以上，具体数量指标根据全国土地利用总体规划逐级分解下达。</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A94C57">
        <w:rPr>
          <w:rFonts w:ascii="仿宋_GB2312" w:eastAsia="仿宋_GB2312" w:hAnsi="Times New Roman" w:cs="Times New Roman" w:hint="eastAsia"/>
          <w:sz w:val="32"/>
          <w:szCs w:val="32"/>
        </w:rPr>
        <w:t>下列耕地应当划入基本农田保护区，严格管理：</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一</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经国务院有关主管部门或者县级以上地方人民政府批准确定的粮、棉、油生产基地内的耕地；</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二</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有良好的水利与水土保持设施的耕地，正在实施改造计划以及可以改造的中、低产田；</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三</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蔬菜生产基地；</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四</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农业科研、教学试验田。</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根据土地利用总体规划，铁路、公路等交通沿线，城市和村庄、集镇建设用地区周边的耕地，应当优先划入基本农田保护区；需要退耕还林、还牧、还湖的耕地，不应当划入基本农田保护区。</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A94C57">
        <w:rPr>
          <w:rFonts w:ascii="仿宋_GB2312" w:eastAsia="仿宋_GB2312" w:hAnsi="Times New Roman" w:cs="Times New Roman" w:hint="eastAsia"/>
          <w:sz w:val="32"/>
          <w:szCs w:val="32"/>
        </w:rPr>
        <w:t>基本农田保护区以乡</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镇</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为单位划区定界，由县级人民政府土地行政主管部门会同同级农业行政主管部门组织实施。</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划定的基本农田保护区，由县级人民政府设立保护标志，予以公告，由县级人民政府土地行政主管部门建立档案，并抄送同级农业行政主管部门。任何单位和个人不得破坏或者擅自改变基本农田保护区的保护标志。</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基本农</w:t>
      </w:r>
      <w:r w:rsidRPr="00A94C57">
        <w:rPr>
          <w:rFonts w:ascii="仿宋_GB2312" w:eastAsia="仿宋_GB2312" w:hAnsi="Times New Roman" w:cs="Times New Roman" w:hint="eastAsia"/>
          <w:sz w:val="32"/>
          <w:szCs w:val="32"/>
        </w:rPr>
        <w:t>田划区定界后，由省、自治区、直辖市人民政府组织土地行政主管部门和农业行政主管部门验收确认，或者</w:t>
      </w:r>
      <w:r w:rsidRPr="00A94C57">
        <w:rPr>
          <w:rFonts w:ascii="仿宋_GB2312" w:eastAsia="仿宋_GB2312" w:hAnsi="Times New Roman" w:cs="Times New Roman" w:hint="eastAsia"/>
          <w:sz w:val="32"/>
          <w:szCs w:val="32"/>
        </w:rPr>
        <w:lastRenderedPageBreak/>
        <w:t>由省、自治区人民政府授权设区的市、自治州人民政府组织土地行政主管部门和农业行政主管部门验收确认。</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A94C57">
        <w:rPr>
          <w:rFonts w:ascii="仿宋_GB2312" w:eastAsia="仿宋_GB2312" w:hAnsi="Times New Roman" w:cs="Times New Roman" w:hint="eastAsia"/>
          <w:sz w:val="32"/>
          <w:szCs w:val="32"/>
        </w:rPr>
        <w:t>划定基本农田保护区时，不得改变土地承包者的承包经营权。</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A94C57">
        <w:rPr>
          <w:rFonts w:ascii="仿宋_GB2312" w:eastAsia="仿宋_GB2312" w:hAnsi="Times New Roman" w:cs="Times New Roman" w:hint="eastAsia"/>
          <w:sz w:val="32"/>
          <w:szCs w:val="32"/>
        </w:rPr>
        <w:t>划定基本农田保护区的技术规程，由国务院土地行政主管部门会同国务院农业行政主管部门制定。</w:t>
      </w:r>
    </w:p>
    <w:p w:rsidR="004957D5" w:rsidRDefault="00CC52D5">
      <w:pPr>
        <w:pStyle w:val="2"/>
        <w:jc w:val="center"/>
        <w:rPr>
          <w:rFonts w:ascii="方正黑体_GBK" w:eastAsia="方正黑体_GBK"/>
        </w:rPr>
      </w:pPr>
      <w:r>
        <w:rPr>
          <w:rFonts w:ascii="方正黑体_GBK" w:eastAsia="方正黑体_GBK" w:hAnsi="Times New Roman" w:cs="Times New Roman" w:hint="eastAsia"/>
        </w:rPr>
        <w:t>第三章　保护</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A94C57">
        <w:rPr>
          <w:rFonts w:ascii="仿宋_GB2312" w:eastAsia="仿宋_GB2312" w:hAnsi="Times New Roman" w:cs="Times New Roman" w:hint="eastAsia"/>
          <w:sz w:val="32"/>
          <w:szCs w:val="32"/>
        </w:rPr>
        <w:t>地方各级人民政府应当采取措施，确保土地利用总体规划确定的本行政区域内基本农田的数量不减少。</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A94C57">
        <w:rPr>
          <w:rFonts w:ascii="仿宋_GB2312" w:eastAsia="仿宋_GB2312" w:hAnsi="Times New Roman" w:cs="Times New Roman" w:hint="eastAsia"/>
          <w:sz w:val="32"/>
          <w:szCs w:val="32"/>
        </w:rPr>
        <w:t>基本农田保护区经依法划定后，任</w:t>
      </w:r>
      <w:r w:rsidRPr="00A94C57">
        <w:rPr>
          <w:rFonts w:ascii="仿宋_GB2312" w:eastAsia="仿宋_GB2312" w:hAnsi="Times New Roman" w:cs="Times New Roman" w:hint="eastAsia"/>
          <w:sz w:val="32"/>
          <w:szCs w:val="32"/>
        </w:rPr>
        <w:t>何单位和个人不得改变或者占用。国家能源、交通、水利、军事设施等重点建设项目选址确实无法避开基本农田保护区，需要占用基本农田，涉及农用地转用或者征收土地的，必须经国务院批准。</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A94C57">
        <w:rPr>
          <w:rFonts w:ascii="仿宋_GB2312" w:eastAsia="仿宋_GB2312" w:hAnsi="Times New Roman" w:cs="Times New Roman" w:hint="eastAsia"/>
          <w:sz w:val="32"/>
          <w:szCs w:val="32"/>
        </w:rPr>
        <w:t>经国务院批准占用基本农田的，当地人民政府应当按照国务院的批准文件修改土地利用总体规划，并补充划入数量和质量相当的基本农田。占用单位应当按照占多少、垦多少的原则，负责开垦与所占基本农田的数量与质量相当的耕地；没有条件开垦或者开垦的耕地不符合要求的，应当按照省、自治区、直辖市的规定缴纳耕地开垦费，专款用于开垦新的耕地。</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lastRenderedPageBreak/>
        <w:t>占用基本农</w:t>
      </w:r>
      <w:r w:rsidRPr="00A94C57">
        <w:rPr>
          <w:rFonts w:ascii="仿宋_GB2312" w:eastAsia="仿宋_GB2312" w:hAnsi="Times New Roman" w:cs="Times New Roman" w:hint="eastAsia"/>
          <w:sz w:val="32"/>
          <w:szCs w:val="32"/>
        </w:rPr>
        <w:t>田的单位应当按照县级以上地方人民政府的要求，将所占用基本农田耕作层的土壤用于新开垦耕地、劣质地或者其他耕地的土壤改良。</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A94C57">
        <w:rPr>
          <w:rFonts w:ascii="仿宋_GB2312" w:eastAsia="仿宋_GB2312" w:hAnsi="Times New Roman" w:cs="Times New Roman" w:hint="eastAsia"/>
          <w:sz w:val="32"/>
          <w:szCs w:val="32"/>
        </w:rPr>
        <w:t>禁止任何单位和个人在基本农田保护区内建窑、建房、建坟、挖砂、采石、采矿、取土、堆放固体废弃物或者进行其他破坏基本农田的活动。</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禁止任何单位和个人占用基本农田发展林果业和挖塘养鱼。</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A94C57">
        <w:rPr>
          <w:rFonts w:ascii="仿宋_GB2312" w:eastAsia="仿宋_GB2312" w:hAnsi="Times New Roman" w:cs="Times New Roman" w:hint="eastAsia"/>
          <w:sz w:val="32"/>
          <w:szCs w:val="32"/>
        </w:rPr>
        <w:t>禁止任何单位和个人闲置、荒芜基本农田。经国务院批准的重点建设项目占用基本农田的，满</w:t>
      </w:r>
      <w:r w:rsidRPr="00A94C57">
        <w:rPr>
          <w:rFonts w:ascii="仿宋_GB2312" w:eastAsia="仿宋_GB2312" w:hAnsi="Times New Roman" w:cs="Times New Roman" w:hint="eastAsia"/>
          <w:sz w:val="32"/>
          <w:szCs w:val="32"/>
        </w:rPr>
        <w:t>1</w:t>
      </w:r>
      <w:r w:rsidRPr="00A94C57">
        <w:rPr>
          <w:rFonts w:ascii="仿宋_GB2312" w:eastAsia="仿宋_GB2312" w:hAnsi="Times New Roman" w:cs="Times New Roman" w:hint="eastAsia"/>
          <w:sz w:val="32"/>
          <w:szCs w:val="32"/>
        </w:rPr>
        <w:t>年不使用而又可以耕种并收获的，应当由原耕种该幅基本农田的集体或者个人恢复耕种，也可以由用地单位组织耕种；</w:t>
      </w:r>
      <w:r w:rsidRPr="00A94C57">
        <w:rPr>
          <w:rFonts w:ascii="仿宋_GB2312" w:eastAsia="仿宋_GB2312" w:hAnsi="Times New Roman" w:cs="Times New Roman" w:hint="eastAsia"/>
          <w:sz w:val="32"/>
          <w:szCs w:val="32"/>
        </w:rPr>
        <w:t>1</w:t>
      </w:r>
      <w:r w:rsidRPr="00A94C57">
        <w:rPr>
          <w:rFonts w:ascii="仿宋_GB2312" w:eastAsia="仿宋_GB2312" w:hAnsi="Times New Roman" w:cs="Times New Roman" w:hint="eastAsia"/>
          <w:sz w:val="32"/>
          <w:szCs w:val="32"/>
        </w:rPr>
        <w:t>年</w:t>
      </w:r>
      <w:r w:rsidRPr="00A94C57">
        <w:rPr>
          <w:rFonts w:ascii="仿宋_GB2312" w:eastAsia="仿宋_GB2312" w:hAnsi="Times New Roman" w:cs="Times New Roman" w:hint="eastAsia"/>
          <w:sz w:val="32"/>
          <w:szCs w:val="32"/>
        </w:rPr>
        <w:t>以上未动工建设的，应当按照省、自治区、直辖市的规定缴纳闲置费；连续</w:t>
      </w:r>
      <w:r w:rsidRPr="00A94C57">
        <w:rPr>
          <w:rFonts w:ascii="仿宋_GB2312" w:eastAsia="仿宋_GB2312" w:hAnsi="Times New Roman" w:cs="Times New Roman" w:hint="eastAsia"/>
          <w:sz w:val="32"/>
          <w:szCs w:val="32"/>
        </w:rPr>
        <w:t>2</w:t>
      </w:r>
      <w:r w:rsidRPr="00A94C57">
        <w:rPr>
          <w:rFonts w:ascii="仿宋_GB2312" w:eastAsia="仿宋_GB2312" w:hAnsi="Times New Roman" w:cs="Times New Roman" w:hint="eastAsia"/>
          <w:sz w:val="32"/>
          <w:szCs w:val="32"/>
        </w:rPr>
        <w:t>年未使用的，经国务院批准，由县级以上人民政府无偿收回用地单位的土地使用权；该幅土地原为农民集体所有的，应当交由原农村集体经济组织恢复耕种，重新划入基本农田保护区。</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承包经营基本农田的单位或者个人连续</w:t>
      </w:r>
      <w:r w:rsidRPr="00A94C57">
        <w:rPr>
          <w:rFonts w:ascii="仿宋_GB2312" w:eastAsia="仿宋_GB2312" w:hAnsi="Times New Roman" w:cs="Times New Roman" w:hint="eastAsia"/>
          <w:sz w:val="32"/>
          <w:szCs w:val="32"/>
        </w:rPr>
        <w:t>2</w:t>
      </w:r>
      <w:r w:rsidRPr="00A94C57">
        <w:rPr>
          <w:rFonts w:ascii="仿宋_GB2312" w:eastAsia="仿宋_GB2312" w:hAnsi="Times New Roman" w:cs="Times New Roman" w:hint="eastAsia"/>
          <w:sz w:val="32"/>
          <w:szCs w:val="32"/>
        </w:rPr>
        <w:t>年弃耕抛荒的，原发包单位应当终止承包合同，收回发包的基本农田。</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A94C57">
        <w:rPr>
          <w:rFonts w:ascii="仿宋_GB2312" w:eastAsia="仿宋_GB2312" w:hAnsi="Times New Roman" w:cs="Times New Roman" w:hint="eastAsia"/>
          <w:sz w:val="32"/>
          <w:szCs w:val="32"/>
        </w:rPr>
        <w:t>国家提倡和鼓励农业生产者对其经营的基本农田施用有机肥料，合理施用化肥和农药。利用基本农田从事农业生产的单位和个人应当保持和培肥地力。</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第二十条　</w:t>
      </w:r>
      <w:r w:rsidRPr="00A94C57">
        <w:rPr>
          <w:rFonts w:ascii="仿宋_GB2312" w:eastAsia="仿宋_GB2312" w:hAnsi="Times New Roman" w:cs="Times New Roman" w:hint="eastAsia"/>
          <w:sz w:val="32"/>
          <w:szCs w:val="32"/>
        </w:rPr>
        <w:t>县级人民政府应当根据当地实</w:t>
      </w:r>
      <w:r w:rsidRPr="00A94C57">
        <w:rPr>
          <w:rFonts w:ascii="仿宋_GB2312" w:eastAsia="仿宋_GB2312" w:hAnsi="Times New Roman" w:cs="Times New Roman" w:hint="eastAsia"/>
          <w:sz w:val="32"/>
          <w:szCs w:val="32"/>
        </w:rPr>
        <w:t>际情况制定基本农田地力分等定级办法，由农业行政主管部门会同土地行政主管部门组织实施，对基本农田地力分等定级，并建立档案。</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A94C57">
        <w:rPr>
          <w:rFonts w:ascii="仿宋_GB2312" w:eastAsia="仿宋_GB2312" w:hAnsi="Times New Roman" w:cs="Times New Roman" w:hint="eastAsia"/>
          <w:sz w:val="32"/>
          <w:szCs w:val="32"/>
        </w:rPr>
        <w:t>农村集体经济组织或者村民委员会应当定期评定基本农田地力等级。</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A94C57">
        <w:rPr>
          <w:rFonts w:ascii="仿宋_GB2312" w:eastAsia="仿宋_GB2312" w:hAnsi="Times New Roman" w:cs="Times New Roman" w:hint="eastAsia"/>
          <w:sz w:val="32"/>
          <w:szCs w:val="32"/>
        </w:rPr>
        <w:t>县级以上地方各级人民政府农业行政主管部门应当逐步建立基本农田地力与施肥效益长期定位监测网点，定期向本级人民政府提出基本农田地力变化状况报告以及相应的地力保护措施，并为农业生产者提供施肥指导服务。</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A94C57">
        <w:rPr>
          <w:rFonts w:ascii="仿宋_GB2312" w:eastAsia="仿宋_GB2312" w:hAnsi="Times New Roman" w:cs="Times New Roman" w:hint="eastAsia"/>
          <w:sz w:val="32"/>
          <w:szCs w:val="32"/>
        </w:rPr>
        <w:t>县级以上人民政府农业行政主管部门应当会同同级环境保护行政主管部门对基本农田环境污染进行监测和评价</w:t>
      </w:r>
      <w:r w:rsidRPr="00A94C57">
        <w:rPr>
          <w:rFonts w:ascii="仿宋_GB2312" w:eastAsia="仿宋_GB2312" w:hAnsi="Times New Roman" w:cs="Times New Roman" w:hint="eastAsia"/>
          <w:sz w:val="32"/>
          <w:szCs w:val="32"/>
        </w:rPr>
        <w:t>，并定期向本级人民政府提出环境质量与发展趋势的报告。</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A94C57">
        <w:rPr>
          <w:rFonts w:ascii="仿宋_GB2312" w:eastAsia="仿宋_GB2312" w:hAnsi="Times New Roman" w:cs="Times New Roman" w:hint="eastAsia"/>
          <w:sz w:val="32"/>
          <w:szCs w:val="32"/>
        </w:rPr>
        <w:t>经国务院批准占用基本农田兴建国家重点建设项目的，必须遵守国家有关建设项目环境保护管理的规定。在建设项目环境影响报告书中，应当有基本农田环境保护方案。</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A94C57">
        <w:rPr>
          <w:rFonts w:ascii="仿宋_GB2312" w:eastAsia="仿宋_GB2312" w:hAnsi="Times New Roman" w:cs="Times New Roman" w:hint="eastAsia"/>
          <w:sz w:val="32"/>
          <w:szCs w:val="32"/>
        </w:rPr>
        <w:t>向基本农田保护区提供肥料和作为肥料的城市垃圾、污泥的，应当符合国家有关标准。</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A94C57">
        <w:rPr>
          <w:rFonts w:ascii="仿宋_GB2312" w:eastAsia="仿宋_GB2312" w:hAnsi="Times New Roman" w:cs="Times New Roman" w:hint="eastAsia"/>
          <w:sz w:val="32"/>
          <w:szCs w:val="32"/>
        </w:rPr>
        <w:t>因发生事故或者其他突然性事件，造成或</w:t>
      </w:r>
      <w:r w:rsidRPr="00A94C57">
        <w:rPr>
          <w:rFonts w:ascii="仿宋_GB2312" w:eastAsia="仿宋_GB2312" w:hAnsi="Times New Roman" w:cs="Times New Roman" w:hint="eastAsia"/>
          <w:sz w:val="32"/>
          <w:szCs w:val="32"/>
        </w:rPr>
        <w:lastRenderedPageBreak/>
        <w:t>者可能造成基本农田环境污染事故的，当事人必须立即采取措施处理，并向当地环境保护行政主管部门和农业行政主管部门报告，接受调查处理。</w:t>
      </w:r>
    </w:p>
    <w:p w:rsidR="004957D5" w:rsidRDefault="00CC52D5">
      <w:pPr>
        <w:pStyle w:val="2"/>
        <w:jc w:val="center"/>
        <w:rPr>
          <w:rFonts w:ascii="方正黑体_GBK" w:eastAsia="方正黑体_GBK"/>
        </w:rPr>
      </w:pPr>
      <w:r>
        <w:rPr>
          <w:rFonts w:ascii="方正黑体_GBK" w:eastAsia="方正黑体_GBK" w:hAnsi="Times New Roman" w:cs="Times New Roman" w:hint="eastAsia"/>
        </w:rPr>
        <w:t>第四章　监督管理</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A94C57">
        <w:rPr>
          <w:rFonts w:ascii="仿宋_GB2312" w:eastAsia="仿宋_GB2312" w:hAnsi="Times New Roman" w:cs="Times New Roman" w:hint="eastAsia"/>
          <w:sz w:val="32"/>
          <w:szCs w:val="32"/>
        </w:rPr>
        <w:t>在建立基本农田保护区的地方，县级以上地方人民政府应当与下一级人民政府签订基本农田保护责任书；乡</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镇</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人民政府应当根据与县级人民政府签订的基本农田保护责任书的要求，与农村集体经济组织或者村民委员会签订基本农田保护责任书。</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基本农田保护责任书应当包括下列内容：</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一</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基本农田的范围、面积、地块；</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二</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基本农田的地力等级；</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三</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保护措施；</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四</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当事人的权利与义务；</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五</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奖励与处罚。</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A94C57">
        <w:rPr>
          <w:rFonts w:ascii="仿宋_GB2312" w:eastAsia="仿宋_GB2312" w:hAnsi="Times New Roman" w:cs="Times New Roman" w:hint="eastAsia"/>
          <w:sz w:val="32"/>
          <w:szCs w:val="32"/>
        </w:rPr>
        <w:t>县级以上地方人民政府应当建立基本农田保护监督检查制度，定期组织土地行政主管部门、农业行政主管部门以及其他有关部门对基本农田保护情况进行检查，将检查情况书面报告上一级人民政府。被检查的单位和个人应当如实提供有关情况和资料，不得拒绝。</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A94C57">
        <w:rPr>
          <w:rFonts w:ascii="仿宋_GB2312" w:eastAsia="仿宋_GB2312" w:hAnsi="Times New Roman" w:cs="Times New Roman" w:hint="eastAsia"/>
          <w:sz w:val="32"/>
          <w:szCs w:val="32"/>
        </w:rPr>
        <w:t>县级以上地方人民政府土地行政主管部</w:t>
      </w:r>
      <w:r w:rsidRPr="00A94C57">
        <w:rPr>
          <w:rFonts w:ascii="仿宋_GB2312" w:eastAsia="仿宋_GB2312" w:hAnsi="Times New Roman" w:cs="Times New Roman" w:hint="eastAsia"/>
          <w:sz w:val="32"/>
          <w:szCs w:val="32"/>
        </w:rPr>
        <w:lastRenderedPageBreak/>
        <w:t>门、农业行政主管部门对本行政区域内发生的破坏基本农田的行为，有权责令纠正。</w:t>
      </w:r>
    </w:p>
    <w:p w:rsidR="004957D5" w:rsidRDefault="00CC52D5">
      <w:pPr>
        <w:pStyle w:val="2"/>
        <w:jc w:val="center"/>
        <w:rPr>
          <w:rFonts w:ascii="方正黑体_GBK" w:eastAsia="方正黑体_GBK"/>
        </w:rPr>
      </w:pPr>
      <w:r>
        <w:rPr>
          <w:rFonts w:ascii="方正黑体_GBK" w:eastAsia="方正黑体_GBK" w:hAnsi="Times New Roman" w:cs="Times New Roman" w:hint="eastAsia"/>
        </w:rPr>
        <w:t>第五章　法律责任</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A94C57">
        <w:rPr>
          <w:rFonts w:ascii="仿宋_GB2312" w:eastAsia="仿宋_GB2312" w:hAnsi="Times New Roman" w:cs="Times New Roman" w:hint="eastAsia"/>
          <w:sz w:val="32"/>
          <w:szCs w:val="32"/>
        </w:rPr>
        <w:t>违反本条例规定，有下列行为之一的，依照《中华人民共和国土地管理法》和《中华人民共和国土地管理法实施条例》的有关规定，从重给予处罚：</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一</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未经批准或者采取欺骗手段骗取批准，非法占用基本农田的；</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二</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超过批准数量，非法占用基本农田的；</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三</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非法批准占用基本农田的；</w:t>
      </w:r>
    </w:p>
    <w:p w:rsidR="004957D5" w:rsidRPr="00A94C57" w:rsidRDefault="00CC52D5">
      <w:pPr>
        <w:pStyle w:val="a3"/>
        <w:ind w:firstLineChars="200" w:firstLine="640"/>
        <w:rPr>
          <w:rFonts w:ascii="仿宋_GB2312" w:eastAsia="仿宋_GB2312" w:hAnsi="Times New Roman" w:cs="Times New Roman" w:hint="eastAsia"/>
          <w:sz w:val="32"/>
          <w:szCs w:val="32"/>
        </w:rPr>
      </w:pP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四</w:t>
      </w:r>
      <w:r w:rsidRPr="00A94C57">
        <w:rPr>
          <w:rFonts w:ascii="仿宋_GB2312" w:eastAsia="仿宋_GB2312" w:hAnsi="Times New Roman" w:cs="Times New Roman" w:hint="eastAsia"/>
          <w:sz w:val="32"/>
          <w:szCs w:val="32"/>
        </w:rPr>
        <w:t>)</w:t>
      </w:r>
      <w:r w:rsidRPr="00A94C57">
        <w:rPr>
          <w:rFonts w:ascii="仿宋_GB2312" w:eastAsia="仿宋_GB2312" w:hAnsi="Times New Roman" w:cs="Times New Roman" w:hint="eastAsia"/>
          <w:sz w:val="32"/>
          <w:szCs w:val="32"/>
        </w:rPr>
        <w:t>买卖或者以其他形式非法转让基本农田的。</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A94C57">
        <w:rPr>
          <w:rFonts w:ascii="仿宋_GB2312" w:eastAsia="仿宋_GB2312" w:hAnsi="Times New Roman" w:cs="Times New Roman" w:hint="eastAsia"/>
          <w:sz w:val="32"/>
          <w:szCs w:val="32"/>
        </w:rPr>
        <w:t>违反本条例规定，应当将耕地划入基本农田保护区而不划入的，由上一级人民政府责令限期改正；拒不改正的，对直接负责的主管人员和其他直接责任人员依法给予行政处分或者纪律处分。</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A94C57">
        <w:rPr>
          <w:rFonts w:ascii="仿宋_GB2312" w:eastAsia="仿宋_GB2312" w:hAnsi="Times New Roman" w:cs="Times New Roman" w:hint="eastAsia"/>
          <w:sz w:val="32"/>
          <w:szCs w:val="32"/>
        </w:rPr>
        <w:t>违反本条例规定，破坏或者擅自改变基本农田保护区标志的，由县级以上地方人民政府土地行政主管部门或者农业行政主管部门责令恢复原状，可以处</w:t>
      </w:r>
      <w:r w:rsidRPr="00A94C57">
        <w:rPr>
          <w:rFonts w:ascii="仿宋_GB2312" w:eastAsia="仿宋_GB2312" w:hAnsi="Times New Roman" w:cs="Times New Roman" w:hint="eastAsia"/>
          <w:sz w:val="32"/>
          <w:szCs w:val="32"/>
        </w:rPr>
        <w:t>10</w:t>
      </w:r>
      <w:r w:rsidRPr="00A94C57">
        <w:rPr>
          <w:rFonts w:ascii="仿宋_GB2312" w:eastAsia="仿宋_GB2312" w:hAnsi="Times New Roman" w:cs="Times New Roman" w:hint="eastAsia"/>
          <w:sz w:val="32"/>
          <w:szCs w:val="32"/>
        </w:rPr>
        <w:t>00</w:t>
      </w:r>
      <w:r w:rsidRPr="00A94C57">
        <w:rPr>
          <w:rFonts w:ascii="仿宋_GB2312" w:eastAsia="仿宋_GB2312" w:hAnsi="Times New Roman" w:cs="Times New Roman" w:hint="eastAsia"/>
          <w:sz w:val="32"/>
          <w:szCs w:val="32"/>
        </w:rPr>
        <w:t>元以下罚款。</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A94C57">
        <w:rPr>
          <w:rFonts w:ascii="仿宋_GB2312" w:eastAsia="仿宋_GB2312" w:hAnsi="Times New Roman" w:cs="Times New Roman" w:hint="eastAsia"/>
          <w:sz w:val="32"/>
          <w:szCs w:val="32"/>
        </w:rPr>
        <w:t>违反本条例规定，占用基本农田建窑、建房、建坟、挖砂、采石、采矿、取土、堆放固体废弃物或者</w:t>
      </w:r>
      <w:r w:rsidRPr="00A94C57">
        <w:rPr>
          <w:rFonts w:ascii="仿宋_GB2312" w:eastAsia="仿宋_GB2312" w:hAnsi="Times New Roman" w:cs="Times New Roman" w:hint="eastAsia"/>
          <w:sz w:val="32"/>
          <w:szCs w:val="32"/>
        </w:rPr>
        <w:lastRenderedPageBreak/>
        <w:t>从事其他活动破坏基本农田，毁坏种植条件的，由县级以上人民政府土地行政主管部门责令改正或者治理，恢复原种植条件，处占用基本农田的耕地开垦费</w:t>
      </w:r>
      <w:r w:rsidRPr="00A94C57">
        <w:rPr>
          <w:rFonts w:ascii="仿宋_GB2312" w:eastAsia="仿宋_GB2312" w:hAnsi="Times New Roman" w:cs="Times New Roman" w:hint="eastAsia"/>
          <w:sz w:val="32"/>
          <w:szCs w:val="32"/>
        </w:rPr>
        <w:t>1</w:t>
      </w:r>
      <w:r w:rsidRPr="00A94C57">
        <w:rPr>
          <w:rFonts w:ascii="仿宋_GB2312" w:eastAsia="仿宋_GB2312" w:hAnsi="Times New Roman" w:cs="Times New Roman" w:hint="eastAsia"/>
          <w:sz w:val="32"/>
          <w:szCs w:val="32"/>
        </w:rPr>
        <w:t>倍以上</w:t>
      </w:r>
      <w:r w:rsidRPr="00A94C57">
        <w:rPr>
          <w:rFonts w:ascii="仿宋_GB2312" w:eastAsia="仿宋_GB2312" w:hAnsi="Times New Roman" w:cs="Times New Roman" w:hint="eastAsia"/>
          <w:sz w:val="32"/>
          <w:szCs w:val="32"/>
        </w:rPr>
        <w:t>2</w:t>
      </w:r>
      <w:r w:rsidRPr="00A94C57">
        <w:rPr>
          <w:rFonts w:ascii="仿宋_GB2312" w:eastAsia="仿宋_GB2312" w:hAnsi="Times New Roman" w:cs="Times New Roman" w:hint="eastAsia"/>
          <w:sz w:val="32"/>
          <w:szCs w:val="32"/>
        </w:rPr>
        <w:t>倍以下的罚款；构成犯罪的，依法追究刑事责任。</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A94C57">
        <w:rPr>
          <w:rFonts w:ascii="仿宋_GB2312" w:eastAsia="仿宋_GB2312" w:hAnsi="Times New Roman" w:cs="Times New Roman" w:hint="eastAsia"/>
          <w:sz w:val="32"/>
          <w:szCs w:val="32"/>
        </w:rPr>
        <w:t>侵占、挪用基本农田的耕地开垦费，构成犯罪的，依法追究刑事责任；尚不构成犯罪的，依法给予行政处分或者纪律处分。</w:t>
      </w:r>
    </w:p>
    <w:p w:rsidR="004957D5" w:rsidRDefault="00CC52D5">
      <w:pPr>
        <w:pStyle w:val="2"/>
        <w:jc w:val="center"/>
        <w:rPr>
          <w:rFonts w:ascii="方正黑体_GBK" w:eastAsia="方正黑体_GBK"/>
        </w:rPr>
      </w:pPr>
      <w:r>
        <w:rPr>
          <w:rFonts w:ascii="方正黑体_GBK" w:eastAsia="方正黑体_GBK" w:hAnsi="Times New Roman" w:cs="Times New Roman" w:hint="eastAsia"/>
        </w:rPr>
        <w:t>第六章　附则</w:t>
      </w:r>
    </w:p>
    <w:p w:rsidR="004957D5" w:rsidRPr="00A94C57" w:rsidRDefault="00CC52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A94C57">
        <w:rPr>
          <w:rFonts w:ascii="仿宋_GB2312" w:eastAsia="仿宋_GB2312" w:hAnsi="Times New Roman" w:cs="Times New Roman" w:hint="eastAsia"/>
          <w:sz w:val="32"/>
          <w:szCs w:val="32"/>
        </w:rPr>
        <w:t>省、自治区、直辖市人民政府可以根据当地实际情况，将其他</w:t>
      </w:r>
      <w:r w:rsidRPr="00A94C57">
        <w:rPr>
          <w:rFonts w:ascii="仿宋_GB2312" w:eastAsia="仿宋_GB2312" w:hAnsi="Times New Roman" w:cs="Times New Roman" w:hint="eastAsia"/>
          <w:sz w:val="32"/>
          <w:szCs w:val="32"/>
        </w:rPr>
        <w:t>农业生产用地划为保护区。保护区内的其他农业生产用地的保护和管理，可以参照本条例执行。</w:t>
      </w:r>
    </w:p>
    <w:p w:rsidR="004957D5" w:rsidRDefault="00CC52D5">
      <w:pPr>
        <w:ind w:firstLineChars="200" w:firstLine="640"/>
      </w:pPr>
      <w:r>
        <w:rPr>
          <w:rFonts w:ascii="Times New Roman" w:eastAsia="黑体" w:hAnsi="Times New Roman" w:cs="Times New Roman"/>
          <w:sz w:val="32"/>
          <w:szCs w:val="32"/>
        </w:rPr>
        <w:t xml:space="preserve">第三十六条　</w:t>
      </w:r>
      <w:r w:rsidRPr="00A94C57">
        <w:rPr>
          <w:rFonts w:ascii="仿宋_GB2312" w:eastAsia="仿宋_GB2312" w:hAnsi="Times New Roman" w:cs="Times New Roman" w:hint="eastAsia"/>
          <w:sz w:val="32"/>
          <w:szCs w:val="32"/>
        </w:rPr>
        <w:t>本条例自</w:t>
      </w:r>
      <w:r w:rsidRPr="00A94C57">
        <w:rPr>
          <w:rFonts w:ascii="仿宋_GB2312" w:eastAsia="仿宋_GB2312" w:hAnsi="Times New Roman" w:cs="Times New Roman" w:hint="eastAsia"/>
          <w:sz w:val="32"/>
          <w:szCs w:val="32"/>
        </w:rPr>
        <w:t>1999</w:t>
      </w:r>
      <w:r w:rsidRPr="00A94C57">
        <w:rPr>
          <w:rFonts w:ascii="仿宋_GB2312" w:eastAsia="仿宋_GB2312" w:hAnsi="Times New Roman" w:cs="Times New Roman" w:hint="eastAsia"/>
          <w:sz w:val="32"/>
          <w:szCs w:val="32"/>
        </w:rPr>
        <w:t>年</w:t>
      </w:r>
      <w:r w:rsidRPr="00A94C57">
        <w:rPr>
          <w:rFonts w:ascii="仿宋_GB2312" w:eastAsia="仿宋_GB2312" w:hAnsi="Times New Roman" w:cs="Times New Roman" w:hint="eastAsia"/>
          <w:sz w:val="32"/>
          <w:szCs w:val="32"/>
        </w:rPr>
        <w:t>1</w:t>
      </w:r>
      <w:r w:rsidRPr="00A94C57">
        <w:rPr>
          <w:rFonts w:ascii="仿宋_GB2312" w:eastAsia="仿宋_GB2312" w:hAnsi="Times New Roman" w:cs="Times New Roman" w:hint="eastAsia"/>
          <w:sz w:val="32"/>
          <w:szCs w:val="32"/>
        </w:rPr>
        <w:t>月</w:t>
      </w:r>
      <w:r w:rsidRPr="00A94C57">
        <w:rPr>
          <w:rFonts w:ascii="仿宋_GB2312" w:eastAsia="仿宋_GB2312" w:hAnsi="Times New Roman" w:cs="Times New Roman" w:hint="eastAsia"/>
          <w:sz w:val="32"/>
          <w:szCs w:val="32"/>
        </w:rPr>
        <w:t>1</w:t>
      </w:r>
      <w:r w:rsidRPr="00A94C57">
        <w:rPr>
          <w:rFonts w:ascii="仿宋_GB2312" w:eastAsia="仿宋_GB2312" w:hAnsi="Times New Roman" w:cs="Times New Roman" w:hint="eastAsia"/>
          <w:sz w:val="32"/>
          <w:szCs w:val="32"/>
        </w:rPr>
        <w:t>日起施行。</w:t>
      </w:r>
      <w:r w:rsidRPr="00A94C57">
        <w:rPr>
          <w:rFonts w:ascii="仿宋_GB2312" w:eastAsia="仿宋_GB2312" w:hAnsi="Times New Roman" w:cs="Times New Roman" w:hint="eastAsia"/>
          <w:sz w:val="32"/>
          <w:szCs w:val="32"/>
        </w:rPr>
        <w:t>1994</w:t>
      </w:r>
      <w:r w:rsidRPr="00A94C57">
        <w:rPr>
          <w:rFonts w:ascii="仿宋_GB2312" w:eastAsia="仿宋_GB2312" w:hAnsi="Times New Roman" w:cs="Times New Roman" w:hint="eastAsia"/>
          <w:sz w:val="32"/>
          <w:szCs w:val="32"/>
        </w:rPr>
        <w:t>年</w:t>
      </w:r>
      <w:r w:rsidRPr="00A94C57">
        <w:rPr>
          <w:rFonts w:ascii="仿宋_GB2312" w:eastAsia="仿宋_GB2312" w:hAnsi="Times New Roman" w:cs="Times New Roman" w:hint="eastAsia"/>
          <w:sz w:val="32"/>
          <w:szCs w:val="32"/>
        </w:rPr>
        <w:t>8</w:t>
      </w:r>
      <w:r w:rsidRPr="00A94C57">
        <w:rPr>
          <w:rFonts w:ascii="仿宋_GB2312" w:eastAsia="仿宋_GB2312" w:hAnsi="Times New Roman" w:cs="Times New Roman" w:hint="eastAsia"/>
          <w:sz w:val="32"/>
          <w:szCs w:val="32"/>
        </w:rPr>
        <w:t>月</w:t>
      </w:r>
      <w:r w:rsidRPr="00A94C57">
        <w:rPr>
          <w:rFonts w:ascii="仿宋_GB2312" w:eastAsia="仿宋_GB2312" w:hAnsi="Times New Roman" w:cs="Times New Roman" w:hint="eastAsia"/>
          <w:sz w:val="32"/>
          <w:szCs w:val="32"/>
        </w:rPr>
        <w:t>18</w:t>
      </w:r>
      <w:r w:rsidRPr="00A94C57">
        <w:rPr>
          <w:rFonts w:ascii="仿宋_GB2312" w:eastAsia="仿宋_GB2312" w:hAnsi="Times New Roman" w:cs="Times New Roman" w:hint="eastAsia"/>
          <w:sz w:val="32"/>
          <w:szCs w:val="32"/>
        </w:rPr>
        <w:t>日国务院发布的《基本农田保护条例》同时废止。</w:t>
      </w:r>
    </w:p>
    <w:sectPr w:rsidR="004957D5" w:rsidSect="004957D5">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2D5" w:rsidRDefault="00CC52D5" w:rsidP="004957D5">
      <w:r>
        <w:separator/>
      </w:r>
    </w:p>
  </w:endnote>
  <w:endnote w:type="continuationSeparator" w:id="1">
    <w:p w:rsidR="00CC52D5" w:rsidRDefault="00CC52D5" w:rsidP="004957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7D5" w:rsidRDefault="004957D5">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4957D5" w:rsidRDefault="004957D5">
                <w:pPr>
                  <w:pStyle w:val="a4"/>
                </w:pPr>
                <w:r>
                  <w:rPr>
                    <w:rFonts w:hint="eastAsia"/>
                    <w:sz w:val="24"/>
                    <w:szCs w:val="24"/>
                  </w:rPr>
                  <w:fldChar w:fldCharType="begin"/>
                </w:r>
                <w:r w:rsidR="00CC52D5">
                  <w:rPr>
                    <w:rFonts w:hint="eastAsia"/>
                    <w:sz w:val="24"/>
                    <w:szCs w:val="24"/>
                  </w:rPr>
                  <w:instrText xml:space="preserve"> PAGE  \* MERGEFORMAT </w:instrText>
                </w:r>
                <w:r>
                  <w:rPr>
                    <w:rFonts w:hint="eastAsia"/>
                    <w:sz w:val="24"/>
                    <w:szCs w:val="24"/>
                  </w:rPr>
                  <w:fldChar w:fldCharType="separate"/>
                </w:r>
                <w:r w:rsidR="00A94C57">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2D5" w:rsidRDefault="00CC52D5" w:rsidP="004957D5">
      <w:r>
        <w:separator/>
      </w:r>
    </w:p>
  </w:footnote>
  <w:footnote w:type="continuationSeparator" w:id="1">
    <w:p w:rsidR="00CC52D5" w:rsidRDefault="00CC52D5" w:rsidP="004957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CE6108F"/>
    <w:rsid w:val="004957D5"/>
    <w:rsid w:val="00783649"/>
    <w:rsid w:val="00A94C57"/>
    <w:rsid w:val="00C57FED"/>
    <w:rsid w:val="00CC52D5"/>
    <w:rsid w:val="00F742C1"/>
    <w:rsid w:val="20CB5304"/>
    <w:rsid w:val="21180183"/>
    <w:rsid w:val="2CE6108F"/>
    <w:rsid w:val="5AE61301"/>
    <w:rsid w:val="74DA79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57D5"/>
    <w:pPr>
      <w:widowControl w:val="0"/>
      <w:jc w:val="both"/>
    </w:pPr>
    <w:rPr>
      <w:kern w:val="2"/>
      <w:sz w:val="21"/>
      <w:szCs w:val="22"/>
    </w:rPr>
  </w:style>
  <w:style w:type="paragraph" w:styleId="2">
    <w:name w:val="heading 2"/>
    <w:basedOn w:val="a"/>
    <w:next w:val="a"/>
    <w:uiPriority w:val="9"/>
    <w:semiHidden/>
    <w:unhideWhenUsed/>
    <w:qFormat/>
    <w:rsid w:val="004957D5"/>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4957D5"/>
    <w:rPr>
      <w:rFonts w:ascii="宋体" w:eastAsia="宋体" w:hAnsi="Courier New" w:cs="Courier New"/>
      <w:szCs w:val="21"/>
    </w:rPr>
  </w:style>
  <w:style w:type="paragraph" w:styleId="a4">
    <w:name w:val="footer"/>
    <w:basedOn w:val="a"/>
    <w:qFormat/>
    <w:rsid w:val="004957D5"/>
    <w:pPr>
      <w:tabs>
        <w:tab w:val="center" w:pos="4153"/>
        <w:tab w:val="right" w:pos="8306"/>
      </w:tabs>
      <w:snapToGrid w:val="0"/>
      <w:jc w:val="left"/>
    </w:pPr>
    <w:rPr>
      <w:sz w:val="18"/>
    </w:rPr>
  </w:style>
  <w:style w:type="paragraph" w:styleId="a5">
    <w:name w:val="header"/>
    <w:basedOn w:val="a"/>
    <w:qFormat/>
    <w:rsid w:val="004957D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567</Words>
  <Characters>3233</Characters>
  <Application>Microsoft Office Word</Application>
  <DocSecurity>0</DocSecurity>
  <Lines>26</Lines>
  <Paragraphs>7</Paragraphs>
  <ScaleCrop>false</ScaleCrop>
  <Company>Microsoft</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2019-05-25T03:24:00Z</cp:lastPrinted>
  <dcterms:created xsi:type="dcterms:W3CDTF">2019-05-22T15:27:00Z</dcterms:created>
  <dcterms:modified xsi:type="dcterms:W3CDTF">2019-07-08T01:44:00Z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