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放射性药品管理办法</w:t>
      </w:r>
    </w:p>
    <w:p>
      <w:pPr>
        <w:pStyle w:val="10"/>
        <w:ind w:firstLine="640" w:firstLineChars="20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(1989年1月</w:t>
      </w:r>
      <w:bookmarkStart w:id="0" w:name="_GoBack"/>
      <w:bookmarkEnd w:id="0"/>
      <w:r>
        <w:rPr>
          <w:rFonts w:hint="eastAsia" w:ascii="楷体_GB2312" w:hAnsi="楷体_GB2312" w:eastAsia="楷体_GB2312" w:cs="楷体_GB2312"/>
          <w:sz w:val="32"/>
          <w:szCs w:val="32"/>
        </w:rPr>
        <w:t>13日中华人民共和国国务院令第25号发布　根据2011年1月8日《国务院关于废止和修改部分行政法规的决定》第一次修订　根据2017年3月1日《国务院关于修改和废止部分行政法规的决定》第二次修订)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为了加强放射性药品的管理，根据《中华人民共和国药品管理法》(以下称《药品管理法》)的规定，制定本办法。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放射性药品是指用于临床诊断或者治疗的放射性核素制剂或者其标记药物。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凡在中华人民共和国领域内进行放射性药品的研究、生产、经营、运输、使用、检验、监督管理的单位和个人都必须遵守本办法。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药品监督管理部门负责全国放射性药品监督管理工作。国务院国防科技工业主管部门依据职责负责与放射性药品有关的管理工作。国务院环境保护主管部门负责与放射性药品有关的辐射安全与防护的监督管理工作。</w:t>
      </w:r>
    </w:p>
    <w:p>
      <w:pPr>
        <w:pStyle w:val="3"/>
        <w:bidi w:val="0"/>
        <w:rPr>
          <w:rFonts w:ascii="Times New Roman" w:hAnsi="Times New Roman" w:eastAsia="仿宋_GB2312" w:cs="Times New Roman"/>
          <w:szCs w:val="32"/>
        </w:rPr>
      </w:pPr>
      <w:r>
        <w:t>第二章　放射性新药的研制、临床研究和审批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放射性新药的研制内容，包括工艺路线、质量标准、临床前药理及临床研究。研制单位在制订新药工艺路线的同时，必须研究该药的理化性能、纯度(包括核素纯度)及检验方法、药理、毒理、动物药代动力学、放射性比活度、剂量、剂型、稳定性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研制单位对放射免疫分析药盒必须进行可测限度、范围、特异性、准确度、精密度、稳定性等方法学的研究。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放射性新药的分类，按国务院药品监督管理部门有关药品注册的规定办理。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研制单位研制的放射性新药，在进行临床试验或者验证前，应当向国务院药品监督管理部门提出申请，按规定报送资料及样品，经国务院药品监督管理部门审批同意后，在国务院药品监督管理部门指定的药物临床试验机构进行临床研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研制单位在放射性新药临床研究结束后，向国务院药品监督管理部门提出申请，经国务院药品监督管理部门审核批准，发给新药证书。国务院药品监督管理部门在审核批准时，应当征求国务院国防科技工业主管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放射性新药投入生产，需由生产单位或者取得放射性药品生产许可证的研制单位，凭新药证书(副本)向国务院药品监督管理部门提出生产该药的申请，并提供样品，由国务院药品监督管理部门审核发给批准文号。</w:t>
      </w:r>
    </w:p>
    <w:p>
      <w:pPr>
        <w:pStyle w:val="3"/>
        <w:bidi w:val="0"/>
        <w:rPr>
          <w:rFonts w:ascii="Times New Roman" w:hAnsi="Times New Roman" w:eastAsia="仿宋_GB2312" w:cs="Times New Roman"/>
          <w:szCs w:val="32"/>
        </w:rPr>
      </w:pPr>
      <w:r>
        <w:t>第三章　放射性药品的生产、经营和进出口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国家根据需要，对放射性药品的生产企业实行合理布局。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开办放射性药品生产、经营企业，必须具备《药品管理法》规定的条件，符合国家有关放射性同位素安全和防护的规定与标准，并履行环境影响评价文件的审批手续；开办放射性药品生产企业，经国务院国防科技工业主管部门审查同意，国务院药品监督管理部门审核批准后，由所在省、自治区、直辖市药品监督管理部门发给《放射性药品生产企业许可证》；开办放射性药品经营企业，经国务院药品监督管理部门审核并征求国务院国防科技工业主管部门意见后批准的，由所在省、自治区、直辖市药品监督管理部门发给《放射性药品经营企业许可证》。无许可证的生产、经营企业，一律不准生产、销售放射性药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放射性药品生产企业许可证》、《放射性药品经营企业许可证》的有效期为5年，期满前6个月，放射性药品生产、经营企业应当分别向原发证的药品监督管理部门重新提出申请，按第十条审批程序批准后，换发新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放射性药品生产企业生产已有国家标准的放射性药品，必须经国务院药品监督管理部门征求国务院国防科技工业主管部门意见后审核批准，并发给批准文号。凡是改变国务院药品监督管理部门已批准的生产工艺路线和药品标准的，生产单位必须按原报批程序提出补充申请，经国务院药品监督管理部门批准后方能生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放射性药品生产、经营企业，必须配备与生产、经营放射性药品相适应的专业技术人员，具有安全、防护和废气、废物、废水处理等设施，并建立严格的质量管理制度。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放射性药品生产、经营企业，必须建立质量检验机构，严格实行生产全过程的质量控制和检验。产品出厂前，须经质量检验。符合国家药品标准的产品方可出厂，不符合标准的产品一律不准出厂。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国务院药品监督管理部门审核批准的含有短半衰期放射性核素的药品，可以边检验边出厂，但发现质量不符合国家药品标准时，该药品的生产企业应当立即停止生产、销售，并立即通知使用单位停止使用，同时报告国务院药品监督管理、卫生行政、国防科技工业主管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放射性药品的生产、经营单位和医疗单位凭省、自治区、直辖市药品监督管理部门发给的《放射性药品生产企业许可证》、《放射性药品经营企业许可证》，医疗单位凭省、自治区、直辖市药品监督管理部门发给的《放射性药品使用许可证》，开展放射性药品的购销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进口的放射性药品品种，必须符合我国的药品标准或者其他药用要求，并依照《药品管理法》的规定取得进口药品注册证书。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进出口放射性药品，应当按照国家有关对外贸易、放射性同位素安全和防护的规定，办理进出口手续。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进口放射性药品，必须经国务院药品监督管理部门指定的药品检验机构抽样检验；检验合格的，方准进口。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经国务院药品监督管理部门审核批准的含有短半衰期放射性核素的药品，在保证安全使用的情况下，可以采取边进口检验，边投入使用的办法。进口检验单位发现药品质量不符合要求时，应当立即通知使用单位停止使用，并报告国务院药品监督管理、卫生行政、国防科技工业主管部门。</w:t>
      </w:r>
    </w:p>
    <w:p>
      <w:pPr>
        <w:pStyle w:val="3"/>
        <w:bidi w:val="0"/>
      </w:pPr>
      <w:r>
        <w:t>第四章　放射性药品的包装和运输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放射性药品的包装必须安全实用，符合放射性药品质量要求，具有与放射性剂量相适应的防护装置。包装必须分内包装和外包装两部分，外包装必须贴有商标、标签、说明书和放射性药品标志，内包装必须贴有标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标签必须注明药品品名、放射性比活度、装量。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说明书除注明前款内容外，还须注明生产单位、批准文号、批号、主要成份、出厂日期、放射性核素半衰期、适应症、用法、用量、禁忌症、有效期和注意事项等。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放射性药品的运输，按国家运输、邮政等部门制订的有关规定执行。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严禁任何单位和个人随身携带放射性药品乘坐公共交通运输工具。</w:t>
      </w:r>
    </w:p>
    <w:p>
      <w:pPr>
        <w:pStyle w:val="3"/>
        <w:bidi w:val="0"/>
      </w:pPr>
      <w:r>
        <w:t>第五章　放射性药品的使用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医疗单位设置核医学科、室(同位素室)，必须配备与其医疗任务相适应的并经核医学技术培训的技术人员。非核医学专业技术人员未经培训，不得从事放射性药品使用工作。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医疗单位使用放射性药品，必须符合国家有关放射性同位素安全和防护的规定。所在地的省、自治区、直辖市药品监督管理部门，应当根据医疗单位核医疗技术人员的水平、设备条件，核发相应等级的《放射性药品使用许可证》，无许可证的医疗单位不得临床使用放射性药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《放射性药品使用许可证》有效期为5年，期满前6个月，医疗单位应当向原发证的行政部门重新提出申请，经审核批准后，换发新证。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医疗单位配制、使用放射性制剂，应当符合《药品管理法》及其实施条例的相关规定。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持有《放射性药品使用许可证》的医疗单位，必须负责对使用的放射性药品进行临床质量检验，收集药品不良反应等项工作，并定期向所在地药品监督管理、卫生行政部门报告。由省、自治区、直辖市药品监督管理、卫生行政部门汇总后分别报国务院药品监督管理、卫生行政部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放射性药品使用后的废物(包括患者排出物)，必须按国家有关规定妥善处置。</w:t>
      </w:r>
    </w:p>
    <w:p>
      <w:pPr>
        <w:pStyle w:val="3"/>
        <w:bidi w:val="0"/>
      </w:pPr>
      <w:r>
        <w:t>第六章　放射性药品标准和检验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放射性药品的国家标准，由国务院药品监督管理部门药典委员会负责制定和修订，报国务院药品监督管理部门审批颁发。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放射性药品的检验由国务院药品监督管理部门公布的药品检验机构承担。</w:t>
      </w:r>
    </w:p>
    <w:p>
      <w:pPr>
        <w:pStyle w:val="3"/>
        <w:bidi w:val="0"/>
      </w:pPr>
      <w:r>
        <w:t>第七章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对违反本办法规定的单位或者个人，由县以上药品监督管理、卫生行政部门，按照《药品管理法》和有关法规的规定处罚。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本办法自发布之日起施行。</w:t>
      </w:r>
    </w:p>
    <w:p>
      <w:pPr>
        <w:rPr>
          <w:rFonts w:hint="eastAsia"/>
          <w:lang w:eastAsia="zh-CN"/>
        </w:rPr>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51529ED"/>
    <w:rsid w:val="058213F7"/>
    <w:rsid w:val="06A0228E"/>
    <w:rsid w:val="06E72AA9"/>
    <w:rsid w:val="07405EF4"/>
    <w:rsid w:val="0788080A"/>
    <w:rsid w:val="07E71367"/>
    <w:rsid w:val="08BC05A4"/>
    <w:rsid w:val="08FF0C17"/>
    <w:rsid w:val="094845F0"/>
    <w:rsid w:val="0963250F"/>
    <w:rsid w:val="09723D9C"/>
    <w:rsid w:val="097F7BAD"/>
    <w:rsid w:val="09B60066"/>
    <w:rsid w:val="0A6920EC"/>
    <w:rsid w:val="0A8C2526"/>
    <w:rsid w:val="0AE962F4"/>
    <w:rsid w:val="0AEB2A0D"/>
    <w:rsid w:val="0B1D5B42"/>
    <w:rsid w:val="0B3D0578"/>
    <w:rsid w:val="0C255D01"/>
    <w:rsid w:val="0C297D97"/>
    <w:rsid w:val="0CD74830"/>
    <w:rsid w:val="0D3C4224"/>
    <w:rsid w:val="0D610029"/>
    <w:rsid w:val="0D88679D"/>
    <w:rsid w:val="0DFE10B9"/>
    <w:rsid w:val="0E3F7B00"/>
    <w:rsid w:val="0FB80839"/>
    <w:rsid w:val="107A4DEE"/>
    <w:rsid w:val="10A47D69"/>
    <w:rsid w:val="11366EEC"/>
    <w:rsid w:val="11A80578"/>
    <w:rsid w:val="12146020"/>
    <w:rsid w:val="12C10B30"/>
    <w:rsid w:val="134A1994"/>
    <w:rsid w:val="136642BB"/>
    <w:rsid w:val="142327B5"/>
    <w:rsid w:val="14484CDF"/>
    <w:rsid w:val="155E2CB3"/>
    <w:rsid w:val="157124FD"/>
    <w:rsid w:val="15B17054"/>
    <w:rsid w:val="16173655"/>
    <w:rsid w:val="16E85B46"/>
    <w:rsid w:val="174517D7"/>
    <w:rsid w:val="18413C16"/>
    <w:rsid w:val="18971E78"/>
    <w:rsid w:val="1957540A"/>
    <w:rsid w:val="198A0A54"/>
    <w:rsid w:val="19B07609"/>
    <w:rsid w:val="19DB6C33"/>
    <w:rsid w:val="1A970B23"/>
    <w:rsid w:val="1ABC528A"/>
    <w:rsid w:val="1BAF2172"/>
    <w:rsid w:val="1BE76283"/>
    <w:rsid w:val="1C9212F7"/>
    <w:rsid w:val="1D3C1240"/>
    <w:rsid w:val="1D721751"/>
    <w:rsid w:val="1DA140F8"/>
    <w:rsid w:val="1FD764D6"/>
    <w:rsid w:val="1FE16FBA"/>
    <w:rsid w:val="2037230C"/>
    <w:rsid w:val="2096095A"/>
    <w:rsid w:val="20D86240"/>
    <w:rsid w:val="21CE0F2E"/>
    <w:rsid w:val="221D0BEA"/>
    <w:rsid w:val="22DD4281"/>
    <w:rsid w:val="24263C7F"/>
    <w:rsid w:val="253620CC"/>
    <w:rsid w:val="25981EEB"/>
    <w:rsid w:val="25BF3D61"/>
    <w:rsid w:val="25F044FF"/>
    <w:rsid w:val="26A760E3"/>
    <w:rsid w:val="26C10A61"/>
    <w:rsid w:val="26CA1A3A"/>
    <w:rsid w:val="26DF6D2B"/>
    <w:rsid w:val="27680A3B"/>
    <w:rsid w:val="27A96F19"/>
    <w:rsid w:val="2834230D"/>
    <w:rsid w:val="287A18EA"/>
    <w:rsid w:val="28F8723D"/>
    <w:rsid w:val="2A8D0D45"/>
    <w:rsid w:val="2B01664D"/>
    <w:rsid w:val="2C7458A4"/>
    <w:rsid w:val="2D644059"/>
    <w:rsid w:val="2DBE0D65"/>
    <w:rsid w:val="2DDE6B1E"/>
    <w:rsid w:val="2E1B43B4"/>
    <w:rsid w:val="2E5D5F12"/>
    <w:rsid w:val="2ED32E01"/>
    <w:rsid w:val="2FB37B4F"/>
    <w:rsid w:val="2FF20DF5"/>
    <w:rsid w:val="309802D5"/>
    <w:rsid w:val="318138A8"/>
    <w:rsid w:val="31F05688"/>
    <w:rsid w:val="320E2B0A"/>
    <w:rsid w:val="32252208"/>
    <w:rsid w:val="3242780E"/>
    <w:rsid w:val="330D4027"/>
    <w:rsid w:val="3330356C"/>
    <w:rsid w:val="33CF5811"/>
    <w:rsid w:val="34031BBE"/>
    <w:rsid w:val="347F2CDC"/>
    <w:rsid w:val="349C60FB"/>
    <w:rsid w:val="35095248"/>
    <w:rsid w:val="355560D1"/>
    <w:rsid w:val="386D21AD"/>
    <w:rsid w:val="387E7233"/>
    <w:rsid w:val="39C71577"/>
    <w:rsid w:val="3A7915E5"/>
    <w:rsid w:val="3B1265AF"/>
    <w:rsid w:val="3B596812"/>
    <w:rsid w:val="3BA0652C"/>
    <w:rsid w:val="3C372D12"/>
    <w:rsid w:val="3CA23060"/>
    <w:rsid w:val="3CAF6F9F"/>
    <w:rsid w:val="3CDF39C7"/>
    <w:rsid w:val="3D762392"/>
    <w:rsid w:val="3DFC6899"/>
    <w:rsid w:val="3E3675FB"/>
    <w:rsid w:val="3EEC1919"/>
    <w:rsid w:val="3F800236"/>
    <w:rsid w:val="3F8C783C"/>
    <w:rsid w:val="3FC97A54"/>
    <w:rsid w:val="40226A0B"/>
    <w:rsid w:val="40C1378F"/>
    <w:rsid w:val="40DC5AC3"/>
    <w:rsid w:val="40F66CF8"/>
    <w:rsid w:val="40FE47B4"/>
    <w:rsid w:val="41B857FD"/>
    <w:rsid w:val="429465D8"/>
    <w:rsid w:val="43110E6A"/>
    <w:rsid w:val="431B4937"/>
    <w:rsid w:val="434336CE"/>
    <w:rsid w:val="4361706F"/>
    <w:rsid w:val="43CA1521"/>
    <w:rsid w:val="43D46F84"/>
    <w:rsid w:val="444B0E8A"/>
    <w:rsid w:val="454D6241"/>
    <w:rsid w:val="45866A2B"/>
    <w:rsid w:val="46D80A88"/>
    <w:rsid w:val="46EE0064"/>
    <w:rsid w:val="47793996"/>
    <w:rsid w:val="47A250A3"/>
    <w:rsid w:val="48AC4D69"/>
    <w:rsid w:val="494B3B16"/>
    <w:rsid w:val="49C224BB"/>
    <w:rsid w:val="4A4F5FBC"/>
    <w:rsid w:val="4A732A37"/>
    <w:rsid w:val="4B2E2D61"/>
    <w:rsid w:val="4C062CA1"/>
    <w:rsid w:val="4CF75612"/>
    <w:rsid w:val="4D7C1855"/>
    <w:rsid w:val="4DC87E21"/>
    <w:rsid w:val="4E4E7955"/>
    <w:rsid w:val="4E6A2FDF"/>
    <w:rsid w:val="4EDF3D2B"/>
    <w:rsid w:val="4EED79F5"/>
    <w:rsid w:val="5080370D"/>
    <w:rsid w:val="512A1D93"/>
    <w:rsid w:val="5146198F"/>
    <w:rsid w:val="51F44E31"/>
    <w:rsid w:val="523F45D1"/>
    <w:rsid w:val="524F6E89"/>
    <w:rsid w:val="52695AB4"/>
    <w:rsid w:val="529D4C7B"/>
    <w:rsid w:val="532242E9"/>
    <w:rsid w:val="53BF5C69"/>
    <w:rsid w:val="53DA0A43"/>
    <w:rsid w:val="54031803"/>
    <w:rsid w:val="54942BB0"/>
    <w:rsid w:val="554B0B10"/>
    <w:rsid w:val="55B865F8"/>
    <w:rsid w:val="55C0390E"/>
    <w:rsid w:val="55D520AC"/>
    <w:rsid w:val="566F7832"/>
    <w:rsid w:val="56E91124"/>
    <w:rsid w:val="575D4E2E"/>
    <w:rsid w:val="577F6B33"/>
    <w:rsid w:val="58035B31"/>
    <w:rsid w:val="58F6185E"/>
    <w:rsid w:val="591257DC"/>
    <w:rsid w:val="5B353B99"/>
    <w:rsid w:val="5B6D42C1"/>
    <w:rsid w:val="5C223266"/>
    <w:rsid w:val="5D0B40ED"/>
    <w:rsid w:val="5D101449"/>
    <w:rsid w:val="5DB22BFD"/>
    <w:rsid w:val="5DD739B2"/>
    <w:rsid w:val="5E3A735C"/>
    <w:rsid w:val="5E900D37"/>
    <w:rsid w:val="5F5011B7"/>
    <w:rsid w:val="5F88093C"/>
    <w:rsid w:val="5FDB251D"/>
    <w:rsid w:val="60492E1B"/>
    <w:rsid w:val="60FB7125"/>
    <w:rsid w:val="61152047"/>
    <w:rsid w:val="620467BA"/>
    <w:rsid w:val="622D2BEC"/>
    <w:rsid w:val="62F60DE0"/>
    <w:rsid w:val="63740607"/>
    <w:rsid w:val="63DD0DD3"/>
    <w:rsid w:val="63DE7402"/>
    <w:rsid w:val="641F5EE8"/>
    <w:rsid w:val="642517C4"/>
    <w:rsid w:val="649C0E8F"/>
    <w:rsid w:val="65152017"/>
    <w:rsid w:val="652E7954"/>
    <w:rsid w:val="65532802"/>
    <w:rsid w:val="65BF6566"/>
    <w:rsid w:val="665D25F4"/>
    <w:rsid w:val="66E50FB1"/>
    <w:rsid w:val="674048E2"/>
    <w:rsid w:val="67D71794"/>
    <w:rsid w:val="68426F20"/>
    <w:rsid w:val="68715924"/>
    <w:rsid w:val="694935FA"/>
    <w:rsid w:val="6A403C00"/>
    <w:rsid w:val="6A49703B"/>
    <w:rsid w:val="6B120859"/>
    <w:rsid w:val="6B4C7D1B"/>
    <w:rsid w:val="6C267EB4"/>
    <w:rsid w:val="6CD653AF"/>
    <w:rsid w:val="6D1363D3"/>
    <w:rsid w:val="6D15429C"/>
    <w:rsid w:val="6D614426"/>
    <w:rsid w:val="6DA577A5"/>
    <w:rsid w:val="6DB8609B"/>
    <w:rsid w:val="6DB87D30"/>
    <w:rsid w:val="6E804287"/>
    <w:rsid w:val="6EB30283"/>
    <w:rsid w:val="6F605325"/>
    <w:rsid w:val="6FAA67D8"/>
    <w:rsid w:val="705926FD"/>
    <w:rsid w:val="70817970"/>
    <w:rsid w:val="712B5699"/>
    <w:rsid w:val="72A30A90"/>
    <w:rsid w:val="72AE5309"/>
    <w:rsid w:val="72C042BE"/>
    <w:rsid w:val="73160902"/>
    <w:rsid w:val="735A6A5C"/>
    <w:rsid w:val="746D1278"/>
    <w:rsid w:val="762C29D0"/>
    <w:rsid w:val="768C0C3C"/>
    <w:rsid w:val="76975133"/>
    <w:rsid w:val="769B60FD"/>
    <w:rsid w:val="76C10F77"/>
    <w:rsid w:val="77D8678E"/>
    <w:rsid w:val="78061DFD"/>
    <w:rsid w:val="7814798C"/>
    <w:rsid w:val="7819740D"/>
    <w:rsid w:val="789F59B2"/>
    <w:rsid w:val="78E10B53"/>
    <w:rsid w:val="78ED2B64"/>
    <w:rsid w:val="7A224A32"/>
    <w:rsid w:val="7A4B0114"/>
    <w:rsid w:val="7A6D55E9"/>
    <w:rsid w:val="7ABD49CD"/>
    <w:rsid w:val="7BA85469"/>
    <w:rsid w:val="7C0E15E2"/>
    <w:rsid w:val="7C28250F"/>
    <w:rsid w:val="7C38697D"/>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2019-07-05T03:38:46Z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