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政府督查工作条例</w:t>
      </w:r>
      <w:bookmarkEnd w:id="0"/>
    </w:p>
    <w:p>
      <w:pPr>
        <w:spacing w:line="240" w:lineRule="auto"/>
        <w:ind w:firstLine="0"/>
        <w:jc w:val="both"/>
      </w:pPr>
      <w:bookmarkStart w:id="1" w:name="AddRun"/>
      <w:bookmarkEnd w:id="1"/>
      <w:bookmarkStart w:id="2" w:name="TitleDescription"/>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为了加强和规范政</w:t>
      </w:r>
      <w:bookmarkStart w:id="3" w:name="_GoBack"/>
      <w:bookmarkEnd w:id="3"/>
      <w:r>
        <w:rPr>
          <w:rFonts w:ascii="仿宋_GB2312" w:hAnsi="仿宋_GB2312" w:eastAsia="仿宋_GB2312" w:cs="仿宋_GB2312"/>
          <w:sz w:val="32"/>
        </w:rPr>
        <w:t>府督查工作，保障政令畅通，提高行政效能，推进廉政建设，健全行政监督制度，制定本条例。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本条例所称政府督查，是指县级以上人民政府在法定职权范围内根据工作需要组织开展的监督检查。</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政府督查工作应当坚持和加强党的领导，以人民为中心，服务大局、实事求是，推进依法行政，推动政策落实和问题解决，力戒形式主义、官僚主义。</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政府督查内容包括：</w:t>
      </w:r>
    </w:p>
    <w:p>
      <w:pPr>
        <w:spacing w:line="240" w:lineRule="auto"/>
        <w:ind w:firstLine="640"/>
        <w:jc w:val="both"/>
      </w:pPr>
      <w:r>
        <w:rPr>
          <w:rFonts w:ascii="仿宋_GB2312" w:hAnsi="仿宋_GB2312" w:eastAsia="仿宋_GB2312" w:cs="仿宋_GB2312"/>
          <w:sz w:val="32"/>
        </w:rPr>
        <w:t>（一）党中央、国务院重大决策部署落实情况；</w:t>
      </w:r>
    </w:p>
    <w:p>
      <w:pPr>
        <w:spacing w:line="240" w:lineRule="auto"/>
        <w:ind w:firstLine="640"/>
        <w:jc w:val="both"/>
      </w:pPr>
      <w:r>
        <w:rPr>
          <w:rFonts w:ascii="仿宋_GB2312" w:hAnsi="仿宋_GB2312" w:eastAsia="仿宋_GB2312" w:cs="仿宋_GB2312"/>
          <w:sz w:val="32"/>
        </w:rPr>
        <w:t>（二）上级和本级人民政府重要工作部署落实情况；</w:t>
      </w:r>
    </w:p>
    <w:p>
      <w:pPr>
        <w:spacing w:line="240" w:lineRule="auto"/>
        <w:ind w:firstLine="640"/>
        <w:jc w:val="both"/>
      </w:pPr>
      <w:r>
        <w:rPr>
          <w:rFonts w:ascii="仿宋_GB2312" w:hAnsi="仿宋_GB2312" w:eastAsia="仿宋_GB2312" w:cs="仿宋_GB2312"/>
          <w:sz w:val="32"/>
        </w:rPr>
        <w:t>（三）督查对象法定职责履行情况；</w:t>
      </w:r>
    </w:p>
    <w:p>
      <w:pPr>
        <w:spacing w:line="240" w:lineRule="auto"/>
        <w:ind w:firstLine="640"/>
        <w:jc w:val="both"/>
      </w:pPr>
      <w:r>
        <w:rPr>
          <w:rFonts w:ascii="仿宋_GB2312" w:hAnsi="仿宋_GB2312" w:eastAsia="仿宋_GB2312" w:cs="仿宋_GB2312"/>
          <w:sz w:val="32"/>
        </w:rPr>
        <w:t>（四）本级人民政府所属部门和下级人民政府的行政效能。</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政府督查对象包括：</w:t>
      </w:r>
    </w:p>
    <w:p>
      <w:pPr>
        <w:spacing w:line="240" w:lineRule="auto"/>
        <w:ind w:firstLine="640"/>
        <w:jc w:val="both"/>
      </w:pPr>
      <w:r>
        <w:rPr>
          <w:rFonts w:ascii="仿宋_GB2312" w:hAnsi="仿宋_GB2312" w:eastAsia="仿宋_GB2312" w:cs="仿宋_GB2312"/>
          <w:sz w:val="32"/>
        </w:rPr>
        <w:t>（一）本级人民政府所属部门；</w:t>
      </w:r>
    </w:p>
    <w:p>
      <w:pPr>
        <w:spacing w:line="240" w:lineRule="auto"/>
        <w:ind w:firstLine="640"/>
        <w:jc w:val="both"/>
      </w:pPr>
      <w:r>
        <w:rPr>
          <w:rFonts w:ascii="仿宋_GB2312" w:hAnsi="仿宋_GB2312" w:eastAsia="仿宋_GB2312" w:cs="仿宋_GB2312"/>
          <w:sz w:val="32"/>
        </w:rPr>
        <w:t>（二）下级人民政府及其所属部门；</w:t>
      </w:r>
    </w:p>
    <w:p>
      <w:pPr>
        <w:spacing w:line="240" w:lineRule="auto"/>
        <w:ind w:firstLine="640"/>
        <w:jc w:val="both"/>
      </w:pPr>
      <w:r>
        <w:rPr>
          <w:rFonts w:ascii="仿宋_GB2312" w:hAnsi="仿宋_GB2312" w:eastAsia="仿宋_GB2312" w:cs="仿宋_GB2312"/>
          <w:sz w:val="32"/>
        </w:rPr>
        <w:t>（三）法律、法规授权的具有管理公共事务职能的组织；</w:t>
      </w:r>
    </w:p>
    <w:p>
      <w:pPr>
        <w:spacing w:line="240" w:lineRule="auto"/>
        <w:ind w:firstLine="640"/>
        <w:jc w:val="both"/>
      </w:pPr>
      <w:r>
        <w:rPr>
          <w:rFonts w:ascii="仿宋_GB2312" w:hAnsi="仿宋_GB2312" w:eastAsia="仿宋_GB2312" w:cs="仿宋_GB2312"/>
          <w:sz w:val="32"/>
        </w:rPr>
        <w:t>（四）受行政机关委托管理公共事务的组织。</w:t>
      </w:r>
    </w:p>
    <w:p>
      <w:pPr>
        <w:spacing w:line="240" w:lineRule="auto"/>
        <w:ind w:firstLine="640"/>
        <w:jc w:val="both"/>
      </w:pPr>
      <w:r>
        <w:rPr>
          <w:rFonts w:ascii="仿宋_GB2312" w:hAnsi="仿宋_GB2312" w:eastAsia="仿宋_GB2312" w:cs="仿宋_GB2312"/>
          <w:sz w:val="32"/>
        </w:rPr>
        <w:t>上级人民政府可以对下一级人民政府及其所属部门开展督查，必要时可以对所辖各级人民政府及其所属部门开展督查。</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国务院办公厅指导全国政府督查工作，组织实施国务院督查工作。国务院办公厅督查机构承担国务院督查有关具体工作。</w:t>
      </w:r>
    </w:p>
    <w:p>
      <w:pPr>
        <w:spacing w:line="240" w:lineRule="auto"/>
        <w:ind w:firstLine="640"/>
        <w:jc w:val="both"/>
      </w:pPr>
      <w:r>
        <w:rPr>
          <w:rFonts w:ascii="仿宋_GB2312" w:hAnsi="仿宋_GB2312" w:eastAsia="仿宋_GB2312" w:cs="仿宋_GB2312"/>
          <w:sz w:val="32"/>
        </w:rPr>
        <w:t>县级以上地方人民政府督查机构组织实施本级人民政府督查工作。县级以上地方人民政府督查机构设置的形式和规格，按照机构编制管理有关规定办理。</w:t>
      </w:r>
    </w:p>
    <w:p>
      <w:pPr>
        <w:spacing w:line="240" w:lineRule="auto"/>
        <w:ind w:firstLine="640"/>
        <w:jc w:val="both"/>
      </w:pPr>
      <w:r>
        <w:rPr>
          <w:rFonts w:ascii="仿宋_GB2312" w:hAnsi="仿宋_GB2312" w:eastAsia="仿宋_GB2312" w:cs="仿宋_GB2312"/>
          <w:sz w:val="32"/>
        </w:rPr>
        <w:t>国务院办公厅督查机构和县级以上地方人民政府督查机构统称政府督查机构。</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县级以上人民政府可以指定所属部门按照指定的事项、范围、职责、期限开展政府督查。</w:t>
      </w:r>
    </w:p>
    <w:p>
      <w:pPr>
        <w:spacing w:line="240" w:lineRule="auto"/>
        <w:ind w:firstLine="640"/>
        <w:jc w:val="both"/>
      </w:pPr>
      <w:r>
        <w:rPr>
          <w:rFonts w:ascii="仿宋_GB2312" w:hAnsi="仿宋_GB2312" w:eastAsia="仿宋_GB2312" w:cs="仿宋_GB2312"/>
          <w:sz w:val="32"/>
        </w:rPr>
        <w:t>县级以上人民政府所属部门未经本级人民政府指定，不得开展政府督查。</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县级以上人民政府根据工作需要，可以派出督查组。督查组按照本级人民政府确定的督查事项、范围、职责、期限开展政府督查。督查组对本级人民政府负责。</w:t>
      </w:r>
    </w:p>
    <w:p>
      <w:pPr>
        <w:spacing w:line="240" w:lineRule="auto"/>
        <w:ind w:firstLine="640"/>
        <w:jc w:val="both"/>
      </w:pPr>
      <w:r>
        <w:rPr>
          <w:rFonts w:ascii="仿宋_GB2312" w:hAnsi="仿宋_GB2312" w:eastAsia="仿宋_GB2312" w:cs="仿宋_GB2312"/>
          <w:sz w:val="32"/>
        </w:rPr>
        <w:t>督查组实行组长负责制，组长由本级人民政府确定。</w:t>
      </w:r>
    </w:p>
    <w:p>
      <w:pPr>
        <w:spacing w:line="240" w:lineRule="auto"/>
        <w:ind w:firstLine="640"/>
        <w:jc w:val="both"/>
      </w:pPr>
      <w:r>
        <w:rPr>
          <w:rFonts w:ascii="仿宋_GB2312" w:hAnsi="仿宋_GB2312" w:eastAsia="仿宋_GB2312" w:cs="仿宋_GB2312"/>
          <w:sz w:val="32"/>
        </w:rPr>
        <w:t>可以邀请人大代表、政协委员、政府参事和专家学者等参加督查组。</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督查人员应当具备与其从事的督查工作相适应的政治素质、工作作风、专业知识、业务能力和法律素养，遵守宪法和法律，忠于职守、秉公持正，清正廉洁、保守秘密，自觉接受监督。</w:t>
      </w:r>
    </w:p>
    <w:p>
      <w:pPr>
        <w:spacing w:line="240" w:lineRule="auto"/>
        <w:ind w:firstLine="640"/>
        <w:jc w:val="both"/>
      </w:pPr>
      <w:r>
        <w:rPr>
          <w:rFonts w:ascii="仿宋_GB2312" w:hAnsi="仿宋_GB2312" w:eastAsia="仿宋_GB2312" w:cs="仿宋_GB2312"/>
          <w:sz w:val="32"/>
        </w:rPr>
        <w:t>政府督查机构应当对督查人员进行政治、理论和业务培训。</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政府督查机构履行职责所必需的经费，应当列入本级预算。</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政府督查机构根据本级人民政府的决定或者本级人民政府行政首长在职权范围内作出的指令，确定督查事项。</w:t>
      </w:r>
    </w:p>
    <w:p>
      <w:pPr>
        <w:spacing w:line="240" w:lineRule="auto"/>
        <w:ind w:firstLine="640"/>
        <w:jc w:val="both"/>
      </w:pPr>
      <w:r>
        <w:rPr>
          <w:rFonts w:ascii="仿宋_GB2312" w:hAnsi="仿宋_GB2312" w:eastAsia="仿宋_GB2312" w:cs="仿宋_GB2312"/>
          <w:sz w:val="32"/>
        </w:rPr>
        <w:t>政府督查机构根据党中央、国务院重大决策部署，上级和本级人民政府重要工作部署，以及掌握的线索，可以提出督查工作建议，经本级人民政府行政首长批准后，确定督查事项。</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政府督查可以采取以下方式：</w:t>
      </w:r>
    </w:p>
    <w:p>
      <w:pPr>
        <w:spacing w:line="240" w:lineRule="auto"/>
        <w:ind w:firstLine="640"/>
        <w:jc w:val="both"/>
      </w:pPr>
      <w:r>
        <w:rPr>
          <w:rFonts w:ascii="仿宋_GB2312" w:hAnsi="仿宋_GB2312" w:eastAsia="仿宋_GB2312" w:cs="仿宋_GB2312"/>
          <w:sz w:val="32"/>
        </w:rPr>
        <w:t>（一）要求督查对象自查、说明情况；</w:t>
      </w:r>
    </w:p>
    <w:p>
      <w:pPr>
        <w:spacing w:line="240" w:lineRule="auto"/>
        <w:ind w:firstLine="640"/>
        <w:jc w:val="both"/>
      </w:pPr>
      <w:r>
        <w:rPr>
          <w:rFonts w:ascii="仿宋_GB2312" w:hAnsi="仿宋_GB2312" w:eastAsia="仿宋_GB2312" w:cs="仿宋_GB2312"/>
          <w:sz w:val="32"/>
        </w:rPr>
        <w:t>（二）听取督查对象汇报；</w:t>
      </w:r>
    </w:p>
    <w:p>
      <w:pPr>
        <w:spacing w:line="240" w:lineRule="auto"/>
        <w:ind w:firstLine="640"/>
        <w:jc w:val="both"/>
      </w:pPr>
      <w:r>
        <w:rPr>
          <w:rFonts w:ascii="仿宋_GB2312" w:hAnsi="仿宋_GB2312" w:eastAsia="仿宋_GB2312" w:cs="仿宋_GB2312"/>
          <w:sz w:val="32"/>
        </w:rPr>
        <w:t>（三）开展检查、访谈、暗访；</w:t>
      </w:r>
    </w:p>
    <w:p>
      <w:pPr>
        <w:spacing w:line="240" w:lineRule="auto"/>
        <w:ind w:firstLine="640"/>
        <w:jc w:val="both"/>
      </w:pPr>
      <w:r>
        <w:rPr>
          <w:rFonts w:ascii="仿宋_GB2312" w:hAnsi="仿宋_GB2312" w:eastAsia="仿宋_GB2312" w:cs="仿宋_GB2312"/>
          <w:sz w:val="32"/>
        </w:rPr>
        <w:t>（四）组织座谈、听证、统计、评估；</w:t>
      </w:r>
    </w:p>
    <w:p>
      <w:pPr>
        <w:spacing w:line="240" w:lineRule="auto"/>
        <w:ind w:firstLine="640"/>
        <w:jc w:val="both"/>
      </w:pPr>
      <w:r>
        <w:rPr>
          <w:rFonts w:ascii="仿宋_GB2312" w:hAnsi="仿宋_GB2312" w:eastAsia="仿宋_GB2312" w:cs="仿宋_GB2312"/>
          <w:sz w:val="32"/>
        </w:rPr>
        <w:t>（五）调阅、复制与督查事项有关的资料；</w:t>
      </w:r>
    </w:p>
    <w:p>
      <w:pPr>
        <w:spacing w:line="240" w:lineRule="auto"/>
        <w:ind w:firstLine="640"/>
        <w:jc w:val="both"/>
      </w:pPr>
      <w:r>
        <w:rPr>
          <w:rFonts w:ascii="仿宋_GB2312" w:hAnsi="仿宋_GB2312" w:eastAsia="仿宋_GB2312" w:cs="仿宋_GB2312"/>
          <w:sz w:val="32"/>
        </w:rPr>
        <w:t>（六）通过信函、电话、媒体等渠道收集线索；</w:t>
      </w:r>
    </w:p>
    <w:p>
      <w:pPr>
        <w:spacing w:line="240" w:lineRule="auto"/>
        <w:ind w:firstLine="640"/>
        <w:jc w:val="both"/>
      </w:pPr>
      <w:r>
        <w:rPr>
          <w:rFonts w:ascii="仿宋_GB2312" w:hAnsi="仿宋_GB2312" w:eastAsia="仿宋_GB2312" w:cs="仿宋_GB2312"/>
          <w:sz w:val="32"/>
        </w:rPr>
        <w:t>（七）约谈督查对象负责人或者相关责任人；</w:t>
      </w:r>
    </w:p>
    <w:p>
      <w:pPr>
        <w:spacing w:line="240" w:lineRule="auto"/>
        <w:ind w:firstLine="640"/>
        <w:jc w:val="both"/>
      </w:pPr>
      <w:r>
        <w:rPr>
          <w:rFonts w:ascii="仿宋_GB2312" w:hAnsi="仿宋_GB2312" w:eastAsia="仿宋_GB2312" w:cs="仿宋_GB2312"/>
          <w:sz w:val="32"/>
        </w:rPr>
        <w:t>（八）运用现代信息技术手段开展“互联网+督查”。</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政府督查工作需要协助的，有关行政机关应当在职权范围内予以协助。</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县级以上人民政府可以组织开展综合督查、专项督查、事件调查、日常督办、线索核查等政府督查工作。</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开展政府督查工作应当制定督查方案，明确督查内容、对象和范围；应当严格控制督查频次和时限，科学运用督查方式，严肃督查纪律，提前培训督查人员。</w:t>
      </w:r>
    </w:p>
    <w:p>
      <w:pPr>
        <w:spacing w:line="240" w:lineRule="auto"/>
        <w:ind w:firstLine="640"/>
        <w:jc w:val="both"/>
      </w:pPr>
      <w:r>
        <w:rPr>
          <w:rFonts w:ascii="仿宋_GB2312" w:hAnsi="仿宋_GB2312" w:eastAsia="仿宋_GB2312" w:cs="仿宋_GB2312"/>
          <w:sz w:val="32"/>
        </w:rPr>
        <w:t>政府督查工作应当严格执行督查方案，不得随意扩大督查范围、变更督查对象和内容，不得干预督查对象的正常工作，严禁重复督查、多头督查、越权督查。</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县级以上人民政府在政府督查工作结束后应当作出督查结论。与督查对象有关的督查结论应当向督查对象反馈。</w:t>
      </w:r>
    </w:p>
    <w:p>
      <w:pPr>
        <w:spacing w:line="240" w:lineRule="auto"/>
        <w:ind w:firstLine="640"/>
        <w:jc w:val="both"/>
      </w:pPr>
      <w:r>
        <w:rPr>
          <w:rFonts w:ascii="仿宋_GB2312" w:hAnsi="仿宋_GB2312" w:eastAsia="仿宋_GB2312" w:cs="仿宋_GB2312"/>
          <w:sz w:val="32"/>
        </w:rPr>
        <w:t>督查结论应当事实清楚，证据充分，客观公正。</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督查对象对督查结论有异议的，可以自收到该督查结论之日起</w:t>
      </w:r>
      <w:r>
        <w:rPr>
          <w:rFonts w:hint="default" w:ascii="Times New Roman" w:hAnsi="Times New Roman" w:eastAsia="仿宋_GB2312" w:cs="Times New Roman"/>
          <w:sz w:val="32"/>
        </w:rPr>
        <w:t>30</w:t>
      </w:r>
      <w:r>
        <w:rPr>
          <w:rFonts w:ascii="仿宋_GB2312" w:hAnsi="仿宋_GB2312" w:eastAsia="仿宋_GB2312" w:cs="仿宋_GB2312"/>
          <w:sz w:val="32"/>
        </w:rPr>
        <w:t>日内，向作出该督查结论的人民政府申请复核。收到申请的人民政府应当在</w:t>
      </w:r>
      <w:r>
        <w:rPr>
          <w:rFonts w:hint="default" w:ascii="Times New Roman" w:hAnsi="Times New Roman" w:eastAsia="仿宋_GB2312" w:cs="Times New Roman"/>
          <w:sz w:val="32"/>
        </w:rPr>
        <w:t>30</w:t>
      </w:r>
      <w:r>
        <w:rPr>
          <w:rFonts w:ascii="仿宋_GB2312" w:hAnsi="仿宋_GB2312" w:eastAsia="仿宋_GB2312" w:cs="仿宋_GB2312"/>
          <w:sz w:val="32"/>
        </w:rPr>
        <w:t>日内作出复核决定。参与作出督查结论的工作人员在复核中应当回避。</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对于督查结论中要求整改的事项，督查对象应当按要求整改。政府督查机构可以根据工作需要，对整改情况进行核查。</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政府督查机构可以根据督查结论，提出改变或者撤销本级或者下级人民政府及其所属部门不适当的决定、命令等规范性文件的建议，报本级人民政府或者本级人民政府行政首长。</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政府督查机构可以针对督查结论中反映的突出问题开展调查研究，真实准确地向本级人民政府或者本级人民政府行政首长报告调查研究情况。</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政府督查机构可以根据督查结论或者整改核查结果，提出对督查对象依法依规进行表扬、激励、批评等建议，经本级人民政府或者本级人民政府行政首长批准后组织实施。</w:t>
      </w:r>
    </w:p>
    <w:p>
      <w:pPr>
        <w:spacing w:line="240" w:lineRule="auto"/>
        <w:ind w:firstLine="640"/>
        <w:jc w:val="both"/>
      </w:pPr>
      <w:r>
        <w:rPr>
          <w:rFonts w:ascii="仿宋_GB2312" w:hAnsi="仿宋_GB2312" w:eastAsia="仿宋_GB2312" w:cs="仿宋_GB2312"/>
          <w:sz w:val="32"/>
        </w:rPr>
        <w:t>政府督查机构可以根据督查结论或者整改核查结果，提出对督查对象依法依规追究责任的建议，经本级人民政府或者本级人民政府行政首长批准后，交有权机关调查处理。</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政府督查应当加强与行政执法监督、备案审查监督等的协调衔接。</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督查工作中发现公职人员涉嫌贪污贿赂、失职渎职等职务违法或者职务犯罪的问题线索，政府督查机构应当移送监察机关，由监察机关依法调查处置；发现涉嫌其他犯罪的问题线索，移送司法机关依法处理。</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政府督查机构及督查人员违反本条例规定，滥用职权、徇私舞弊、玩忽职守的，泄露督查过程中所知悉的国家秘密、商业秘密、个人隐私的，或者违反廉政规定的，对负有责任的领导人员和直接责任人员依法依规给予处理；构成犯罪的，依法追究刑事责任。</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督查对象及其工作人员不得阻碍督查工作，不得隐瞒实情、弄虚作假，不得伪造、隐匿、毁灭证据。有上述情形的，由政府督查机构责令改正；情节严重的，依法依规追究责任。</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对督查人员或者提供线索、反映情况的单位和个人进行威胁、打击、报复、陷害的，依法依规追究责任。</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县级以上人民政府及其所属部门依照有关法律法规开展的其他监督检查，按照有关法律法规规定执行。</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本条例自</w:t>
      </w:r>
      <w:r>
        <w:rPr>
          <w:rFonts w:hint="default" w:ascii="Times New Roman" w:hAnsi="Times New Roman" w:eastAsia="仿宋_GB2312" w:cs="Times New Roman"/>
          <w:sz w:val="32"/>
        </w:rPr>
        <w:t>2021</w:t>
      </w:r>
      <w:r>
        <w:rPr>
          <w:rFonts w:ascii="仿宋_GB2312" w:hAnsi="仿宋_GB2312" w:eastAsia="仿宋_GB2312" w:cs="仿宋_GB2312"/>
          <w:sz w:val="32"/>
        </w:rPr>
        <w:t>年</w:t>
      </w:r>
      <w:r>
        <w:rPr>
          <w:rFonts w:hint="default" w:ascii="Times New Roman" w:hAnsi="Times New Roman" w:eastAsia="仿宋_GB2312" w:cs="Times New Roman"/>
          <w:sz w:val="32"/>
        </w:rPr>
        <w:t>2</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25C1B4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uiPriority w:val="99"/>
    <w:rPr>
      <w:sz w:val="18"/>
      <w:szCs w:val="18"/>
    </w:rPr>
  </w:style>
  <w:style w:type="character" w:customStyle="1" w:styleId="9">
    <w:name w:val="页脚 字符"/>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14</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2021-02-09T01:28:46Z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