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无障碍环境建设条例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(2012年6月13日国务院第208次常务会议通过　2012年6月28日中华人民共和国国务院令第622号公布　自2012年8月1日起施行)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为了创造无障碍环境，保障残疾人等社会成员平等参与社会生活，制定本条例。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本条例所称无障碍环境建设，是指为便于残疾人等社会成员自主安全地通行道路、出入相关建筑物、搭乘公共交通工具、交流信息、获得社区服务所进行的建设活动。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无障碍环境建设应当与经济和社会发展水平相适应，遵循实用、易行、广泛受益的原则。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县级以上人民政府负责组织编制无障碍环境建设发展规划并组织实施。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编制无障碍环境建设发展规划，应当征求残疾人组织等社会组织的意见。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无障碍环境建设发展规划应当纳入国民经济和社会发展规划以及城乡规划。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国务院住房和城乡建设主管部门负责全国无障碍设施工程建设活动的监督管理工作，会同国务院有关部门制定无障碍设施工程建设标准，并对无障碍设施工程建设的情况进行监督检查。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国务院工业和信息化主管部门等有关部门在各自职责范围内，做好无障碍环境建设工作。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国家鼓励、支持采用无障碍通用设计的技术和产品，推进残疾人专用的无障碍技术和产品的开发、应用和推广。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国家倡导无障碍环境建设理念，鼓励公民、法人和其他组织为无障碍环境建设提供捐助和志愿服务。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对在无障碍环境建设工作中作出显著成绩的单位和个人，按照国家有关规定给予表彰和奖励。</w:t>
      </w:r>
    </w:p>
    <w:p>
      <w:pPr>
        <w:pStyle w:val="3"/>
        <w:bidi w:val="0"/>
      </w:pPr>
      <w:r>
        <w:t>第二章　无障碍设施建设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城镇新建、改建、扩建道路、公共建筑、公共交通设施、居住建筑、居住区，应当符合无障碍设施工程建设标准。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乡、村庄的建设和发展，应当逐步达到无障碍设施工程建设标准。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无障碍设施工程应当与主体工程同步设计、同步施工、同步验收投入使用。新建的无障碍设施应当与周边的无障碍设施相衔接。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对城镇已建成的不符合无障碍设施工程建设标准的道路、公共建筑、公共交通设施、居住建筑、居住区，县级以上人民政府应当制定无障碍设施改造计划并组织实施。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无障碍设施改造由所有权人或者管理人负责。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县级以上人民政府应当优先推进下列机构、场所的无障碍设施改造：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(一)特殊教育、康复、社会福利等机构；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(二)国家机关的公共服务场所；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(三)文化、体育、医疗卫生等单位的公共服务场所；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(四)交通运输、金融、邮政、商业、旅游等公共服务场所。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城市的主要道路、主要商业区和大型居住区的人行天桥和人行地下通道，应当按照无障碍设施工程建设标准配备无障碍设施，人行道交通信号设施应当逐步完善无障碍服务功能，适应残疾人等社会成员通行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城市的大中型公共场所的公共停车场和大型居住区的停车场，应当按照无障碍设施工程建设标准设置并标明无障碍停车位。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无障碍停车位为肢体残疾人驾驶或者乘坐的机动车专用。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民用航空器、客运列车、客运船舶、公共汽车、城市轨道交通车辆等公共交通工具应当逐步达到无障碍设施的要求。有关主管部门应当制定公共交通工具的无障碍技术标准并确定达标期限。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视力残疾人携带导盲犬出入公共场所，应当遵守国家有关规定，公共场所的工作人员应当按照国家有关规定提供无障碍服务。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无障碍设施的所有权人和管理人，应当对无障碍设施进行保护，有损毁或者故障及时进行维修，确保无障碍设施正常使用。</w:t>
      </w:r>
    </w:p>
    <w:p>
      <w:pPr>
        <w:pStyle w:val="3"/>
        <w:bidi w:val="0"/>
      </w:pPr>
      <w:r>
        <w:t>第三章　无障碍信息交流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县级以上人民政府应当将无障碍信息交流建设纳入信息化建设规划，并采取措施推进信息交流无障碍建设。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县级以上人民政府及其有关部门发布重要政府信息和与残疾人相关的信息，应当创造条件为残疾人提供语音和文字提示等信息交流服务。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国家举办的升学考试、职业资格考试和任职考试，有视力残疾人参加的，应当为视力残疾人提供盲文试卷、电子试卷，或者由工作人员予以协助。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设区的市级以上人民政府设立的电视台应当创造条件，在播出电视节目时配备字幕，每周播放至少一次配播手语的新闻节目。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公开出版发行的影视类录像制品应当配备字幕。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设区的市级以上人民政府设立的公共图书馆应当开设视力残疾人阅览室，提供盲文读物、有声读物，其他图书馆应当逐步开设视力残疾人阅览室。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残疾人组织的网站应当达到无障碍网站设计标准，设区的市级以上人民政府网站、政府公益活动网站，应当逐步达到无障碍网站设计标准。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公共服务机构和公共场所应当创造条件为残疾人提供语音和文字提示、手语、盲文等信息交流服务，并对工作人员进行无障碍服务技能培训。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举办听力残疾人集中参加的公共活动，举办单位应当提供字幕或者手语服务。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电信业务经营者提供电信服务，应当创造条件为有需求的听力、言语残疾人提供文字信息服务，为有需求的视力残疾人提供语音信息服务。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电信终端设备制造者应当提供能够与无障碍信息交流服务相衔接的技术、产品。</w:t>
      </w:r>
    </w:p>
    <w:p>
      <w:pPr>
        <w:pStyle w:val="3"/>
        <w:bidi w:val="0"/>
      </w:pPr>
      <w:r>
        <w:t>第四章　无障碍社区服务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社区公共服务设施应当逐步完善无障碍服务功能，为残疾人等社会成员参与社区生活提供便利。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地方各级人民政府应当逐步完善报警、医疗急救等紧急呼叫系统，方便残疾人等社会成员报警、呼救。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对需要进行无障碍设施改造的贫困家庭，县级以上地方人民政府可以给予适当补助。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组织选举的部门应当为残疾人参加选举提供便利，为视力残疾人提供盲文选票。</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城镇新建、改建、扩建道路、公共建筑、公共交通设施、居住建筑、居住区，不符合无障碍设施工程建设标准的，由住房和城乡建设主管部门责令改正，依法给予处罚。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肢体残疾人驾驶或者乘坐的机动车以外的机动车占用无障碍停车位，影响肢体残疾人使用的，由公安机关交通管理部门责令改正，依法给予处罚。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无障碍设施的所有权人或者管理人对无障碍设施未进行保护或者及时维修，导致无法正常使用的，由有关主管部门责令限期维修；造成使用人人身、财产损害的，无障碍设施的所有权人或者管理人应当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无障碍环境建设主管部门工作人员滥用职权、玩忽职守、徇私舞弊的，依法给予处分；构成犯罪的，依法追究刑事责任。</w:t>
      </w:r>
    </w:p>
    <w:p>
      <w:pPr>
        <w:pStyle w:val="3"/>
        <w:bidi w:val="0"/>
      </w:pPr>
      <w:r>
        <w:t>第六章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本条例自2012年8月1日起施行。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A47D69"/>
    <w:rsid w:val="12146020"/>
    <w:rsid w:val="12C10B30"/>
    <w:rsid w:val="134A1994"/>
    <w:rsid w:val="136642BB"/>
    <w:rsid w:val="13672BF1"/>
    <w:rsid w:val="142327B5"/>
    <w:rsid w:val="14484CDF"/>
    <w:rsid w:val="155E2CB3"/>
    <w:rsid w:val="157124FD"/>
    <w:rsid w:val="15B17054"/>
    <w:rsid w:val="16E85B46"/>
    <w:rsid w:val="174517D7"/>
    <w:rsid w:val="18413C16"/>
    <w:rsid w:val="198A0A54"/>
    <w:rsid w:val="19DB6C33"/>
    <w:rsid w:val="1BAF2172"/>
    <w:rsid w:val="1C9212F7"/>
    <w:rsid w:val="2096095A"/>
    <w:rsid w:val="20D86240"/>
    <w:rsid w:val="21CE0F2E"/>
    <w:rsid w:val="22BE2F92"/>
    <w:rsid w:val="22DD4281"/>
    <w:rsid w:val="253620CC"/>
    <w:rsid w:val="25981EEB"/>
    <w:rsid w:val="25BF3D61"/>
    <w:rsid w:val="25F044FF"/>
    <w:rsid w:val="26C10A61"/>
    <w:rsid w:val="26CA1A3A"/>
    <w:rsid w:val="27680A3B"/>
    <w:rsid w:val="27A96F19"/>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FC6899"/>
    <w:rsid w:val="3E3675FB"/>
    <w:rsid w:val="3F800236"/>
    <w:rsid w:val="3F8C783C"/>
    <w:rsid w:val="40226A0B"/>
    <w:rsid w:val="40DC5AC3"/>
    <w:rsid w:val="40F66CF8"/>
    <w:rsid w:val="40FE47B4"/>
    <w:rsid w:val="41B857FD"/>
    <w:rsid w:val="4361706F"/>
    <w:rsid w:val="43CA1521"/>
    <w:rsid w:val="43D46F84"/>
    <w:rsid w:val="444B0E8A"/>
    <w:rsid w:val="45866A2B"/>
    <w:rsid w:val="47A250A3"/>
    <w:rsid w:val="48AC4D69"/>
    <w:rsid w:val="494B3B16"/>
    <w:rsid w:val="49C224BB"/>
    <w:rsid w:val="4A732A37"/>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4C7660"/>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2019-06-04T04:07:06Z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