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bookmarkStart w:id="0" w:name="_GoBack"/>
      <w:bookmarkEnd w:id="0"/>
    </w:p>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易制毒化学品管理条例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2005年8月26日中华人民共和国国务院令第445号公布　</w:t>
      </w:r>
      <w:r>
        <w:rPr>
          <w:rFonts w:ascii="Times New Roman" w:hAnsi="Times New Roman" w:eastAsia="楷体_GB2312" w:cs="Times New Roman"/>
          <w:sz w:val="32"/>
          <w:szCs w:val="32"/>
        </w:rPr>
        <w:t>根据2014年7月29日《国务院关于修改部分行政法规的决定》第一次修订　根据2016年2月6日《国务院关于修改部分行政法规的决定》第二次修订　根据2018年9月18日《国务院关于修改部分行政法规的决定》第三次修订)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为了加强易制毒化学品管理，规范易制毒化学品的生产、经营、购买、运输和进口、出口行为，防止易制毒化学品被用于制造毒品，维护经济和社会秩序，制定本条例。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国家对易制毒化学品的生产、经营、购买、运输和进口、出口实行分类管理和许可制度。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易制毒化学品分为三类。第一类是可以用于制毒的主要原料，第二类、第三类是可以用于制毒的化学配剂。易制毒化学品的具体分类和品种，由本条例附表列示。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易制毒化学品的分类和品种需要调整的，由国务院公安部门会同国务院药品监督管理部门、安全生产监督管理部门、商务主管部门、卫生主管部门和海关总署提出方案，报国务院批准。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省、自治区、直辖市人民政府认为有必要在本行政区域内调整分类或者增加本条例规定以外的品种的，应当向国务院公安部门提出，由国务院公安部门会同国务院有关行政主管部门提出方案，报国务院批准。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公安部门、药品监督管理部门、安全生产监督管理部门、商务主管部门、卫生主管部门、海关总署、价格主管部门、铁路主管部门、交通主管部门、市场监督管理部门、生态环境主管部门在各自的职责范围内，负责全国的易制毒化学品有关管理工作；县级以上地方各级人民政府有关行政主管部门在各自的职责范围内，负责本行政区域内的易制毒化学品有关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县级以上地方各级人民政府应当加强对易制毒化学品管理工作的领导，及时协调解决易制毒化学品管理工作中的问题。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易制毒化学品的产品包装和使用说明书，应当标明产品的名称(含学名和通用名)、化学分子式和成分。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易制毒化学品的生产、经营、购买、运输和进口、出口，除应当遵守本条例的规定外，属于药品和危险化学品的，还应当遵守法律、其他行政法规对药品和危险化学品的有关规定。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禁止走私或者非法生产、经营、购买、转让、运输易制毒化学品。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禁止使用现金或者实物进行易制毒化学品交易。但是，个人合法购买第一类中的药品类易制毒化学品药品制剂和第三类易制毒化学品的除外。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生产、经营、购买、运输和进口、出口易制毒化学品的单位，应当建立单位内部易制毒化学品管理制度。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国家鼓励向公安机关等有关行政主管部门举报涉及易制毒化学品的违法行为。接到举报的部门应当为举报者保密。对举报属实的，县级以上人民政府及有关行政主管部门应当给予奖励。</w:t>
      </w:r>
    </w:p>
    <w:p>
      <w:pPr>
        <w:pStyle w:val="3"/>
        <w:bidi w:val="0"/>
      </w:pPr>
      <w:r>
        <w:t>第二章　生产、经营管理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申请生产第一类易制毒化学品，应当具备下列条件，并经本条例第八条规定的行政主管部门审批，取得生产许可证后，方可进行生产：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(一)属依法登记的化工产品生产企业或者药品生产企业；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(二)有符合国家标准的生产设备、仓储设施和污染物处理设施；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(三)有严格的安全生产管理制度和环境突发事件应急预案；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(四)企业法定代表人和技术、管理人员具有安全生产和易制毒化学品的有关知识，无毒品犯罪记录；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(五)法律、法规、规章规定的其他条件。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申请生产第一类中的药品类易制毒化学品，还应当在仓储场所等重点区域设置电视监控设施以及与公安机关联网的报警装置。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申请生产第一类中的药品类易制毒化学品的，由省、自治区、直辖市人民政府药品监督管理部门审批；申请生产第一类中的非药品类易制毒化学品的，由省、自治区、直辖市人民政府安全生产监督管理部门审批。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前款规定的行政主管部门应当自收到申请之日起60日内，对申请人提交的申请材料进行审查。对符合规定的，发给生产许可证，或者在企业已经取得的有关生产许可证件上标注；不予许可的，应当书面说明理由。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审查第一类易制毒化学品生产许可申请材料时，根据需要，可以进行实地核查和专家评审。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申请经营第一类易制毒化学品，应当具备下列条件，并经本条例第十条规定的行政主管部门审批，取得经营许可证后，方可进行经营：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(一)属依法登记的化工产品经营企业或者药品经营企业；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(二)有符合国家规定的经营场所，需要储存、保管易制毒化学品的，还应当有符合国家技术标准的仓储设施；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(三)有易制毒化学品的经营管理制度和健全的销售网络；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(四)企业法定代表人和销售、管理人员具有易制毒化学品的有关知识，无毒品犯罪记录；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(五)法律、法规、规章规定的其他条件。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申请经营第一类中的药品类易制毒化学品的，由省、自治区、直辖市人民政府药品监督管理部门审批；申请经营第一类中的非药品类易制毒化学品的，由省、自治区、直辖市人民政府安全生产监督管理部门审批。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前款规定的行政主管部门应当自收到申请之日起30日内，对申请人提交的申请材料进行审查。对符合规定的，发给经营许可证，或者在企业已经取得的有关经营许可证件上标注；不予许可的，应当书面说明理由。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审查第一类易制毒化学品经营许可申请材料时，根据需要，可以进行实地核查。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取得第一类易制毒化学品生产许可或者依照本条例第十三条第一款规定已经履行第二类、第三类易制毒化学品备案手续的生产企业，可以经销自产的易制毒化学品。但是，在厂外设立销售网点经销第一类易制毒化学品的，应当依照本条例的规定取得经营许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第一类中的药品类易制毒化学品药品单方制剂，由麻醉药品定点经营企业经销，且不得零售。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取得第一类易制毒化学品生产、经营许可的企业，应当凭生产、经营许可证到市场监督管理部门办理经营范围变更登记。未经变更登记，不得进行第一类易制毒化学品的生产、经营。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一类易制毒化学品生产、经营许可证被依法吊销的，行政主管部门应当自作出吊销决定之日起5日内通知市场监督管理部门；被吊销许可证的企业，应当及时到市场监督管理部门办理经营范围变更或者企业注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生产第二类、第三类易制毒化学品的，应当自生产之日起30日内，将生产的品种、数量等情况，向所在地的设区的市级人民政府安全生产监督管理部门备案。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营第二类易制毒化学品的，应当自经营之日起30日内，将经营的品种、数量、主要流向等情况，向所在地的设区的市级人民政府安全生产监督管理部门备案；经营第三类易制毒化学品的，应当自经营之日起30日内，将经营的品种、数量、主要流向等情况，向所在地的县级人民政府安全生产监督管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前两款规定的行政主管部门应当于收到备案材料的当日发给备案证明。</w:t>
      </w:r>
    </w:p>
    <w:p>
      <w:pPr>
        <w:pStyle w:val="3"/>
        <w:bidi w:val="0"/>
      </w:pPr>
      <w:r>
        <w:t>第三章　购买管理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申请购买第一类易制毒化学品，应当提交下列证件，经本条例第十五条规定的行政主管部门审批，取得购买许可证：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(一)经营企业提交企业营业执照和合法使用需要证明；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(二)其他组织提交登记证书(成立批准文件)和合法使用需要证明。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申请购买第一类中的药品类易制毒化学品的，由所在地的省、自治区、直辖市人民政府药品监督管理部门审批；申请购买第一类中的非药品类易制毒化学品的，由所在地的省、自治区、直辖市人民政府公安机关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前款规定的行政主管部门应当自收到申请之日起10日内，对申请人提交的申请材料和证件进行审查。对符合规定的，发给购买许可证；不予许可的，应当书面说明理由。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审查第一类易制毒化学品购买许可申请材料时，根据需要，可以进行实地核查。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持有麻醉药品、第一类精神药品购买印鉴卡的医疗机构购买第一类中的药品类易制毒化学品的，无须申请第一类易制毒化学品购买许可证。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个人不得购买第一类、第二类易制毒化学品。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购买第二类、第三类易制毒化学品的，应当在购买前将所需购买的品种、数量，向所在地的县级人民政府公安机关备案。个人自用购买少量高锰酸钾的，无须备案。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经营单位销售第一类易制毒化学品时，应当查验购买许可证和经办人的身份证明。对委托代购的，还应当查验购买人持有的委托文书。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经营单位在查验无误、留存上述证明材料的复印件后，方可出售第一类易制毒化学品；发现可疑情况的，应当立即向当地公安机关报告。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经营单位应当建立易制毒化学品销售台账，如实记录销售的品种、数量、日期、购买方等情况。销售台账和证明材料复印件应当保存2年备查。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第一类易制毒化学品的销售情况，应当自销售之日起5日内报当地公安机关备案；第一类易制毒化学品的使用单位，应当建立使用台账，并保存2年备查。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第二类、第三类易制毒化学品的销售情况，应当自销售之日起30日内报当地公安机关备案。</w:t>
      </w:r>
    </w:p>
    <w:p>
      <w:pPr>
        <w:pStyle w:val="3"/>
        <w:bidi w:val="0"/>
      </w:pPr>
      <w:r>
        <w:t>第四章　运输管理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跨设区的市级行政区域(直辖市为跨市界)或者在国务院公安部门确定的禁毒形势严峻的重点地区跨县级行政区域运输第一类易制毒化学品的，由运出地的设区的市级人民政府公安机关审批；运输第二类易制毒化学品的，由运出地的县级人民政府公安机关审批。经审批取得易制毒化学品运输许可证后，方可运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运输第三类易制毒化学品的，应当在运输前向运出地的县级人民政府公安机关备案。公安机关应当于收到备案材料的当日发给备案证明。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申请易制毒化学品运输许可，应当提交易制毒化学品的购销合同，货主是企业的，应当提交营业执照；货主是其他组织的，应当提交登记证书(成立批准文件)；货主是个人的，应当提交其个人身份证明。经办人还应当提交本人的身份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应当自收到第一类易制毒化学品运输许可申请之日起10日内，收到第二类易制毒化学品运输许可申请之日起3日内，对申请人提交的申请材料进行审查。对符合规定的，发给运输许可证；不予许可的，应当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审查第一类易制毒化学品运输许可申请材料时，根据需要，可以进行实地核查。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对许可运输第一类易制毒化学品的，发给一次有效的运输许可证。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对许可运输第二类易制毒化学品的，发给3个月有效的运输许可证；6个月内运输安全状况良好的，发给12个月有效的运输许可证。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易制毒化学品运输许可证应当载明拟运输的易制毒化学品的品种、数量、运入地、货主及收货人、承运人情况以及运输许可证种类。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运输供教学、科研使用的100克以下的麻黄素样品和供医疗机构制剂配方使用的小包装麻黄素以及医疗机构或者麻醉药品经营企业购买麻黄素片剂6万片以下、注射剂1.5万支以下，货主或者承运人持有依法取得的购买许可证明或者麻醉药品调拨单的，无须申请易制毒化学品运输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接受货主委托运输的，承运人应当查验货主提供的运输许可证或者备案证明，并查验所运货物与运输许可证或者备案证明载明的易制毒化学品品种等情况是否相符；不相符的，不得承运。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运输易制毒化学品，运输人员应当自启运起全程携带运输许可证或者备案证明。公安机关应当在易制毒化学品的运输过程中进行检查。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运输易制毒化学品，应当遵守国家有关货物运输的规定。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因治疗疾病需要，患者、患者近亲属或者患者委托的人凭医疗机构出具的医疗诊断书和本人的身份证明，可以随身携带第一类中的药品类易制毒化学品药品制剂，但是不得超过医用单张处方的最大剂量。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医用单张处方最大剂量，由国务院卫生主管部门规定、公布。</w:t>
      </w:r>
    </w:p>
    <w:p>
      <w:pPr>
        <w:pStyle w:val="3"/>
        <w:bidi w:val="0"/>
      </w:pPr>
      <w:r>
        <w:t>第五章　进口、出口管理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申请进口或者出口易制毒化学品，应当提交下列材料，经国务院商务主管部门或者其委托的省、自治区、直辖市人民政府商务主管部门审批，取得进口或者出口许可证后，方可从事进口、出口活动：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(一)对外贸易经营者备案登记证明复印件；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(二)营业执照副本；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(三)易制毒化学品生产、经营、购买许可证或者备案证明；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(四)进口或者出口合同(协议)副本；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(五)经办人的身份证明。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申请易制毒化学品出口许可的，还应当提交进口方政府主管部门出具的合法使用易制毒化学品的证明或者进口方合法使用的保证文件。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受理易制毒化学品进口、出口申请的商务主管部门应当自收到申请材料之日起20日内，对申请材料进行审查，必要时可以进行实地核查。对符合规定的，发给进口或者出口许可证；不予许可的，应当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对进口第一类中的药品类易制毒化学品的，有关的商务主管部门在作出许可决定前，应当征得国务院药品监督管理部门的同意。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麻黄素等属于重点监控物品范围的易制毒化学品，由国务院商务主管部门会同国务院有关部门核定的企业进口、出口。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国家对易制毒化学品的进口、出口实行国际核查制度。易制毒化学品国际核查目录及核查的具体办法，由国务院商务主管部门会同国务院公安部门规定、公布。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国际核查所用时间不计算在许可期限之内。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向毒品制造、贩运情形严重的国家或者地区出口易制毒化学品以及本条例规定品种以外的化学品的，可以在国际核查措施以外实施其他管制措施，具体办法由国务院商务主管部门会同国务院公安部门、海关总署等有关部门规定、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进口、出口或者过境、转运、通运易制毒化学品的，应当如实向海关申报，并提交进口或者出口许可证。海关凭许可证办理通关手续。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易制毒化学品在境外与保税区、出口加工区等海关特殊监管区域、保税场所之间进出的，适用前款规定。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易制毒化学品在境内与保税区、出口加工区等海关特殊监管区域、保税场所之间进出的，或者在上述海关特殊监管区域、保税场所之间进出的，无须申请易制毒化学品进口或者出口许可证。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进口第一类中的药品类易制毒化学品，还应当提交药品监督管理部门出具的进口药品通关单。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进出境人员随身携带第一类中的药品类易制毒化学品药品制剂和高锰酸钾，应当以自用且数量合理为限，并接受海关监管。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进出境人员不得随身携带前款规定以外的易制毒化学品。</w:t>
      </w:r>
    </w:p>
    <w:p>
      <w:pPr>
        <w:pStyle w:val="3"/>
        <w:bidi w:val="0"/>
      </w:pPr>
      <w:r>
        <w:t>第六章　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县级以上人民政府公安机关、负责药品监督管理的部门、安全生产监督管理部门、商务主管部门、卫生主管部门、价格主管部门、铁路主管部门、交通主管部门、市场监督管理部门、生态环境主管部门和海关，应当依照本条例和有关法律、行政法规的规定，在各自的职责范围内，加强对易制毒化学品生产、经营、购买、运输、价格以及进口、出口的监督检查；对非法生产、经营、购买、运输易制毒化学品，或者走私易制毒化学品的行为，依法予以查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前款规定的行政主管部门在进行易制毒化学品监督检查时，可以依法查看现场、查阅和复制有关资料、记录有关情况、扣押相关的证据材料和违法物品；必要时，可以临时查封有关场所。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被检查的单位或者个人应当如实提供有关情况和材料、物品，不得拒绝或者隐匿。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对依法收缴、查获的易制毒化学品，应当在省、自治区、直辖市或者设区的市级人民政府公安机关、海关或者生态环境主管部门的监督下，区别易制毒化学品的不同情况进行保管、回收，或者依照环境保护法律、行政法规的有关规定，由有资质的单位在生态环境主管部门的监督下销毁。其中，对收缴、查获的第一类中的药品类易制毒化学品，一律销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易制毒化学品违法单位或者个人无力提供保管、回收或者销毁费用的，保管、回收或者销毁的费用在回收所得中开支，或者在有关行政主管部门的禁毒经费中列支。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易制毒化学品丢失、被盗、被抢的，发案单位应当立即向当地公安机关报告，并同时报告当地的县级人民政府负责药品监督管理的部门、安全生产监督管理部门、商务主管部门或者卫生主管部门。接到报案的公安机关应当及时立案查处，并向上级公安机关报告；有关行政主管部门应当逐级上报并配合公安机关的查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有关行政主管部门应当将易制毒化学品许可以及依法吊销许可的情况通报有关公安机关和市场监督管理部门；市场监督管理部门应当将生产、经营易制毒化学品企业依法变更或者注销登记的情况通报有关公安机关和行政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生产、经营、购买、运输或者进口、出口易制毒化学品的单位，应当于每年3月31日前向许可或者备案的行政主管部门和公安机关报告本单位上年度易制毒化学品的生产、经营、购买、运输或者进口、出口情况；有条件的生产、经营、购买、运输或者进口、出口单位，可以与有关行政主管部门建立计算机联网，及时通报有关经营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县级以上人民政府有关行政主管部门应当加强协调合作，建立易制毒化学品管理情况、监督检查情况以及案件处理情况的通报、交流机制。</w:t>
      </w:r>
    </w:p>
    <w:p>
      <w:pPr>
        <w:pStyle w:val="3"/>
        <w:bidi w:val="0"/>
      </w:pPr>
      <w:r>
        <w:t>第七章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违反本条例规定，未经许可或者备案擅自生产、经营、购买、运输易制毒化学品，伪造申请材料骗取易制毒化学品生产、经营、购买或者运输许可证，使用他人的或者伪造、变造、失效的许可证生产、经营、购买、运输易制毒化学品的，由公安机关没收非法生产、经营、购买或者运输的易制毒化学品、用于非法生产易制毒化学品的原料以及非法生产、经营、购买或者运输易制毒化学品的设备、工具，处非法生产、经营、购买或者运输的易制毒化学品货值10倍以上20倍以下的罚款，货值的20倍不足1万元的，按1万元罚款；有违法所得的，没收违法所得；有营业执照的，由市场监督管理部门吊销营业执照；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对有前款规定违法行为的单位或者个人，有关行政主管部门可以自作出行政处罚决定之日起3年内，停止受理其易制毒化学品生产、经营、购买、运输或者进口、出口许可申请。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违反本条例规定，走私易制毒化学品的，由海关没收走私的易制毒化学品；有违法所得的，没收违法所得，并依照海关法律、行政法规给予行政处罚；构成犯罪的，依法追究刑事责任。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违反本条例规定，有下列行为之一的，由负有监督管理职责的行政主管部门给予警告，责令限期改正，处1万元以上5万元以下的罚款；对违反规定生产、经营、购买的易制毒化学品可以予以没收；逾期不改正的，责令限期停产停业整顿；逾期整顿不合格的，吊销相应的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(一)易制毒化学品生产、经营、购买、运输或者进口、出口单位未按规定建立安全管理制度的；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(二)将许可证或者备案证明转借他人使用的；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(三)超出许可的品种、数量生产、经营、购买易制毒化学品的；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(四)生产、经营、购买单位不记录或者不如实记录交易情况、不按规定保存交易记录或者不如实、不及时向公安机关和有关行政主管部门备案销售情况的；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(五)易制毒化学品丢失、被盗、被抢后未及时报告，造成严重后果的；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(六)除个人合法购买第一类中的药品类易制毒化学品药品制剂以及第三类易制毒化学品外，使用现金或者实物进行易制毒化学品交易的；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(七)易制毒化学品的产品包装和使用说明书不符合本条例规定要求的；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(八)生产、经营易制毒化学品的单位不如实或者不按时向有关行政主管部门和公安机关报告年度生产、经销和库存等情况的。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企业的易制毒化学品生产经营许可被依法吊销后，未及时到市场监督管理部门办理经营范围变更或者企业注销登记的，依照前款规定，对易制毒化学品予以没收，并处罚款。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运输的易制毒化学品与易制毒化学品运输许可证或者备案证明载明的品种、数量、运入地、货主及收货人、承运人等情况不符，运输许可证种类不当，或者运输人员未全程携带运输许可证或者备案证明的，由公安机关责令停运整改，处5000元以上5万元以下的罚款；有危险物品运输资质的，运输主管部门可以依法吊销其运输资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个人携带易制毒化学品不符合品种、数量规定的，没收易制毒化学品，处1000元以上5000元以下的罚款。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生产、经营、购买、运输或者进口、出口易制毒化学品的单位或者个人拒不接受有关行政主管部门监督检查的，由负有监督管理职责的行政主管部门责令改正，对直接负责的主管人员以及其他直接责任人员给予警告；情节严重的，对单位处1万元以上5万元以下的罚款，对直接负责的主管人员以及其他直接责任人员处1000元以上5000元以下的罚款；有违反治安管理行为的，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易制毒化学品行政主管部门工作人员在管理工作中有应当许可而不许可、不应当许可而滥许可，不依法受理备案，以及其他滥用职权、玩忽职守、徇私舞弊行为的，依法给予行政处分；构成犯罪的，依法追究刑事责任。</w:t>
      </w:r>
    </w:p>
    <w:p>
      <w:pPr>
        <w:pStyle w:val="3"/>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易制毒化学品生产、经营、购买、运输和进口、出口许可证，由国务院有关行政主管部门根据各自的职责规定式样并监制。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本条例自2005年11月1日起施行。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本条例施行前已经从事易制毒化学品生产、经营、购买、运输或者进口、出口业务的，应当自本条例施行之日起6个月内，依照本条例的规定重新申请许可。</w:t>
      </w:r>
    </w:p>
    <w:p>
      <w:pPr>
        <w:pStyle w:val="10"/>
        <w:ind w:firstLine="640" w:firstLineChars="200"/>
        <w:rPr>
          <w:rFonts w:ascii="Times New Roman" w:hAnsi="Times New Roman" w:eastAsia="仿宋_GB2312" w:cs="Times New Roman"/>
          <w:sz w:val="32"/>
          <w:szCs w:val="32"/>
        </w:rPr>
      </w:pPr>
    </w:p>
    <w:p>
      <w:pPr>
        <w:pStyle w:val="10"/>
        <w:rPr>
          <w:rFonts w:ascii="Times New Roman" w:hAnsi="Times New Roman" w:eastAsia="仿宋_GB2312" w:cs="Times New Roman"/>
          <w:sz w:val="32"/>
          <w:szCs w:val="32"/>
        </w:rPr>
      </w:pPr>
      <w:r>
        <w:rPr>
          <w:rFonts w:ascii="Times New Roman" w:hAnsi="Times New Roman" w:eastAsia="黑体" w:cs="Times New Roman"/>
          <w:sz w:val="32"/>
          <w:szCs w:val="32"/>
        </w:rPr>
        <w:t>附表</w:t>
      </w:r>
    </w:p>
    <w:p>
      <w:pPr>
        <w:pStyle w:val="10"/>
        <w:ind w:firstLine="640" w:firstLineChars="200"/>
        <w:rPr>
          <w:rFonts w:ascii="Times New Roman" w:hAnsi="Times New Roman" w:eastAsia="仿宋_GB2312" w:cs="Times New Roman"/>
          <w:sz w:val="32"/>
          <w:szCs w:val="32"/>
        </w:rPr>
      </w:pPr>
    </w:p>
    <w:p>
      <w:pPr>
        <w:pStyle w:val="10"/>
        <w:ind w:firstLine="640" w:firstLineChars="200"/>
        <w:jc w:val="center"/>
        <w:rPr>
          <w:rFonts w:ascii="Times New Roman" w:hAnsi="Times New Roman" w:eastAsia="仿宋_GB2312" w:cs="Times New Roman"/>
          <w:sz w:val="32"/>
          <w:szCs w:val="32"/>
        </w:rPr>
      </w:pPr>
      <w:r>
        <w:rPr>
          <w:rFonts w:ascii="Times New Roman" w:hAnsi="Times New Roman" w:cs="Times New Roman"/>
          <w:sz w:val="32"/>
          <w:szCs w:val="32"/>
        </w:rPr>
        <w:t>易制毒化学品的分类和品种目录</w:t>
      </w:r>
    </w:p>
    <w:p>
      <w:pPr>
        <w:pStyle w:val="10"/>
        <w:ind w:firstLine="640" w:firstLineChars="200"/>
        <w:rPr>
          <w:rFonts w:ascii="Times New Roman" w:hAnsi="Times New Roman" w:eastAsia="仿宋_GB2312" w:cs="Times New Roman"/>
          <w:sz w:val="32"/>
          <w:szCs w:val="32"/>
        </w:rPr>
      </w:pPr>
    </w:p>
    <w:p>
      <w:pPr>
        <w:pStyle w:val="4"/>
        <w:rPr>
          <w:sz w:val="32"/>
          <w:szCs w:val="32"/>
        </w:rPr>
      </w:pPr>
      <w:r>
        <w:rPr>
          <w:rFonts w:ascii="Times New Roman" w:hAnsi="Times New Roman" w:eastAsia="仿宋_GB2312" w:cs="Times New Roman"/>
          <w:sz w:val="32"/>
          <w:szCs w:val="32"/>
        </w:rPr>
        <w:t>第一类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w:t>
      </w:r>
      <w:r>
        <w:rPr>
          <w:sz w:val="32"/>
          <w:szCs w:val="32"/>
        </w:rPr>
        <w:t>．</w:t>
      </w:r>
      <w:r>
        <w:rPr>
          <w:rFonts w:ascii="Times New Roman" w:hAnsi="Times New Roman" w:eastAsia="仿宋_GB2312" w:cs="Times New Roman"/>
          <w:sz w:val="32"/>
          <w:szCs w:val="32"/>
        </w:rPr>
        <w:t>1—苯基—2—丙酮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2．3，4—亚甲基二氧苯基—2—丙酮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3．胡椒醛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4．黄樟素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5．黄樟油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6．异黄樟素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7．N—乙酰邻氨基苯酸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8．邻氨基苯甲酸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9．麦角酸*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10．麦角胺*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11．麦角新碱*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12．麻黄素、伪麻黄素、消旋麻黄素、去甲麻黄素、甲基麻黄素、麻黄浸膏、麻黄浸膏粉等麻黄素类物质*</w:t>
      </w:r>
    </w:p>
    <w:p>
      <w:pPr>
        <w:pStyle w:val="4"/>
        <w:rPr>
          <w:sz w:val="32"/>
          <w:szCs w:val="32"/>
        </w:rPr>
      </w:pPr>
      <w:r>
        <w:rPr>
          <w:rFonts w:ascii="Times New Roman" w:hAnsi="Times New Roman" w:eastAsia="仿宋_GB2312" w:cs="Times New Roman"/>
          <w:sz w:val="32"/>
          <w:szCs w:val="32"/>
        </w:rPr>
        <w:t>第二类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w:t>
      </w:r>
      <w:r>
        <w:rPr>
          <w:sz w:val="32"/>
          <w:szCs w:val="32"/>
        </w:rPr>
        <w:t>．</w:t>
      </w:r>
      <w:r>
        <w:rPr>
          <w:rFonts w:ascii="Times New Roman" w:hAnsi="Times New Roman" w:eastAsia="仿宋_GB2312" w:cs="Times New Roman"/>
          <w:sz w:val="32"/>
          <w:szCs w:val="32"/>
        </w:rPr>
        <w:t>苯乙酸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2．醋酸酐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3．三氯甲烷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4．乙醚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5．哌啶</w:t>
      </w:r>
    </w:p>
    <w:p>
      <w:pPr>
        <w:pStyle w:val="4"/>
        <w:rPr>
          <w:sz w:val="32"/>
          <w:szCs w:val="32"/>
        </w:rPr>
      </w:pPr>
      <w:r>
        <w:rPr>
          <w:rFonts w:ascii="Times New Roman" w:hAnsi="Times New Roman" w:eastAsia="仿宋_GB2312" w:cs="Times New Roman"/>
          <w:sz w:val="32"/>
          <w:szCs w:val="32"/>
        </w:rPr>
        <w:t>第三类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w:t>
      </w:r>
      <w:r>
        <w:rPr>
          <w:sz w:val="32"/>
          <w:szCs w:val="32"/>
        </w:rPr>
        <w:t>．</w:t>
      </w:r>
      <w:r>
        <w:rPr>
          <w:rFonts w:ascii="Times New Roman" w:hAnsi="Times New Roman" w:eastAsia="仿宋_GB2312" w:cs="Times New Roman"/>
          <w:sz w:val="32"/>
          <w:szCs w:val="32"/>
        </w:rPr>
        <w:t>甲苯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2．丙酮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3．甲基乙基酮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4．高锰酸钾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5．硫酸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6．盐酸</w:t>
      </w:r>
    </w:p>
    <w:p>
      <w:pPr>
        <w:pStyle w:val="10"/>
        <w:ind w:firstLine="640" w:firstLineChars="200"/>
        <w:rPr>
          <w:rFonts w:ascii="Times New Roman" w:hAnsi="Times New Roman" w:eastAsia="仿宋_GB2312"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一、第一类、第二类所列物质可能存在的盐类，也纳入管制。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二、带有*标记的品种为第一类中的药品类易制毒化学品，第一类中的药品类易制毒化学品包括原料药及其单方制剂。</w:t>
      </w:r>
    </w:p>
    <w:p>
      <w:pPr>
        <w:pStyle w:val="10"/>
        <w:ind w:firstLine="640" w:firstLineChars="200"/>
        <w:rPr>
          <w:rFonts w:hint="eastAsia" w:ascii="Times New Roman" w:hAnsi="Times New Roman" w:cs="Times New Roman"/>
          <w:sz w:val="32"/>
          <w:szCs w:val="32"/>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CF6706"/>
    <w:rsid w:val="026D2287"/>
    <w:rsid w:val="03356D16"/>
    <w:rsid w:val="03985ADA"/>
    <w:rsid w:val="058213F7"/>
    <w:rsid w:val="0788080A"/>
    <w:rsid w:val="08FF0C17"/>
    <w:rsid w:val="0963250F"/>
    <w:rsid w:val="097F7BAD"/>
    <w:rsid w:val="09B60066"/>
    <w:rsid w:val="0B3D0578"/>
    <w:rsid w:val="0D3C4224"/>
    <w:rsid w:val="0D610029"/>
    <w:rsid w:val="0DFE10B9"/>
    <w:rsid w:val="10A47D69"/>
    <w:rsid w:val="134A1994"/>
    <w:rsid w:val="142327B5"/>
    <w:rsid w:val="14484CDF"/>
    <w:rsid w:val="155E2CB3"/>
    <w:rsid w:val="18413C16"/>
    <w:rsid w:val="198A0A54"/>
    <w:rsid w:val="19DB6C33"/>
    <w:rsid w:val="1C9212F7"/>
    <w:rsid w:val="20D86240"/>
    <w:rsid w:val="21CE0F2E"/>
    <w:rsid w:val="21D35C95"/>
    <w:rsid w:val="22DD4281"/>
    <w:rsid w:val="25F044FF"/>
    <w:rsid w:val="26CA1A3A"/>
    <w:rsid w:val="27680A3B"/>
    <w:rsid w:val="28F8723D"/>
    <w:rsid w:val="2B01664D"/>
    <w:rsid w:val="2DBE0D65"/>
    <w:rsid w:val="2E1B43B4"/>
    <w:rsid w:val="2E5B06DF"/>
    <w:rsid w:val="2ED32E01"/>
    <w:rsid w:val="2FF20DF5"/>
    <w:rsid w:val="318138A8"/>
    <w:rsid w:val="32252208"/>
    <w:rsid w:val="33CF5811"/>
    <w:rsid w:val="386D21AD"/>
    <w:rsid w:val="3A7915E5"/>
    <w:rsid w:val="3B1265AF"/>
    <w:rsid w:val="3BA0652C"/>
    <w:rsid w:val="3CA23060"/>
    <w:rsid w:val="3CDF39C7"/>
    <w:rsid w:val="3D762392"/>
    <w:rsid w:val="3E3675FB"/>
    <w:rsid w:val="3F800236"/>
    <w:rsid w:val="3F8C783C"/>
    <w:rsid w:val="40DC5AC3"/>
    <w:rsid w:val="40F66CF8"/>
    <w:rsid w:val="40FE47B4"/>
    <w:rsid w:val="41B857FD"/>
    <w:rsid w:val="4361706F"/>
    <w:rsid w:val="43CA1521"/>
    <w:rsid w:val="444B0E8A"/>
    <w:rsid w:val="47A250A3"/>
    <w:rsid w:val="4D0A73CF"/>
    <w:rsid w:val="4DC87E21"/>
    <w:rsid w:val="4EDF3D2B"/>
    <w:rsid w:val="4EED79F5"/>
    <w:rsid w:val="5080370D"/>
    <w:rsid w:val="523F45D1"/>
    <w:rsid w:val="53831A02"/>
    <w:rsid w:val="53BF5C69"/>
    <w:rsid w:val="53DA0A43"/>
    <w:rsid w:val="575D4E2E"/>
    <w:rsid w:val="58035B31"/>
    <w:rsid w:val="58F6185E"/>
    <w:rsid w:val="591257DC"/>
    <w:rsid w:val="5ADD6D3A"/>
    <w:rsid w:val="5DB22BFD"/>
    <w:rsid w:val="5DD739B2"/>
    <w:rsid w:val="5E900D37"/>
    <w:rsid w:val="5F5011B7"/>
    <w:rsid w:val="5F7B7A14"/>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D1363D3"/>
    <w:rsid w:val="6DA577A5"/>
    <w:rsid w:val="6DB87D30"/>
    <w:rsid w:val="6E804287"/>
    <w:rsid w:val="712B5699"/>
    <w:rsid w:val="72141D7B"/>
    <w:rsid w:val="746D1278"/>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2019-12-25T11:30:52Z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