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法律援助条例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(2003年7月16日国务院第15次常务会议通过　2003年7月21日中华人民共和国国务院令第385号公布　自2003年9月1日起施行)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为了保障经济困难的公民获得必要的法律服务，促进和规范法律援助工作，制定本条例。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符合本条例规定的公民，可以依照本条例获得法律咨询、代理、刑事辩护等无偿法律服务。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法律援助是政府的责任，县级以上人民政府应当采取积极措施推动法律援助工作，为法律援助提供财政支持，保障法律援助事业与经济、社会协调发展。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法律援助经费应当专款专用，接受财政、审计部门的监督。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国务院司法行政部门监督管理全国的法律援助工作。县级以上地方各级人民政府司法行政部门监督管理本行政区域的法律援助工作。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中华全国律师协会和地方律师协会应当按照律师协会章程对依据本条例实施的法律援助工作予以协助。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直辖市、设区的市或者县级人民政府司法行政部门根据需要确定本行政区域的法律援助机构。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法律援助机构负责受理、审查法律援助申请，指派或者安排人员为符合本条例规定的公民提供法律援助。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律师应当依照律师法和本条例的规定履行法律援助义务，为受援人提供符合标准的法律服务，依法维护受援人的合法权益，接受律师协会和司法行政部门的监督。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国家鼓励社会对法律援助活动提供捐助。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国家支持和鼓励社会团体、事业单位等社会组织利用自身资源为经济困难的公民提供法律援助。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对在法律援助工作中作出突出贡献的组织和个人，有关的人民政府、司法行政部门应当给予表彰、奖励。</w:t>
      </w:r>
    </w:p>
    <w:p>
      <w:pPr>
        <w:pStyle w:val="3"/>
        <w:bidi w:val="0"/>
      </w:pPr>
      <w:r>
        <w:t>第二章　法律援助范围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公民对下列需要代理的事项，因经济困难没有委托代理人的，可以向法律援助机构申请法律援助：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(一)依法请求国家赔偿的；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(二)请求给予社会保险待遇或者最低生活保障待遇的；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(三)请求发给抚恤金、救济金的；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(四)请求给付赡养费、抚养费、扶养费的；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(五)请求支付劳动报酬的；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(六)主张因见义勇为行为产生的民事权益的。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省、自治区、直辖市人民政府可以对前款规定以外的法律援助事项作出补充规定。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公民可以就本条第一款、第二款规定的事项向法律援助机构申请法律咨询。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刑事诉讼中有下列情形之一的，公民可以向法律援助机构申请法律援助：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(一)犯罪嫌疑人在被侦查机关第一次讯问后或者采取强制措施之日起，因经济困难没有聘请律师的；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(二)公诉案件中的被害人及其法定代理人或者近亲属，自案件移送审查起诉之日起，因经济困难没有委托诉讼代理人的；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(三)自诉案件的自诉人及其法定代理人，自案件被人民法院受理之日起，因经济困难没有委托诉讼代理人的。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公诉人出庭公诉的案件，被告人因经济困难或者其他原因没有委托辩护人，人民法院为被告人指定辩护时，法律援助机构应当提供法律援助。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被告人是盲、聋、哑人或者未成年人而没有委托辩护人的，或者被告人可能被判处死刑而没有委托辩护人的，人民法院为被告人指定辩护时，法律援助机构应当提供法律援助，无须对被告人进行经济状况的审查。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本条例所称公民经济困难的标准，由省、自治区、直辖市人民政府根据本行政区域经济发展状况和法律援助事业的需要规定。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申请人住所地的经济困难标准与受理申请的法律援助机构所在地的经济困难标准不一致的，按照受理申请的法律援助机构所在地的经济困难标准执行。</w:t>
      </w:r>
    </w:p>
    <w:p>
      <w:pPr>
        <w:pStyle w:val="3"/>
        <w:bidi w:val="0"/>
      </w:pPr>
      <w:r>
        <w:t>第三章　法律援助申请和审查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公民就本条例第十条所列事项申请法律援助，应当按照下列规定提出：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(一)请求国家赔偿的，向赔偿义务机关所在地的法律援助机构提出申请；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(二)请求给予社会保险待遇、最低生活保障待遇或者请求发给抚恤金、救济金的，向提供社会保险待遇、最低生活保障待遇或者发给抚恤金、救济金的义务机关所在地的法律援助机构提出申请；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(三)请求给付赡养费、抚养费、扶养费的，向给付赡养费、抚养费、扶养费的义务人住所地的法律援助机构提出申请；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(四)请求支付劳动报酬的，向支付劳动报酬的义务人住所地的法律援助机构提出申请；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(五)主张因见义勇为行为产生的民事权益的，向被请求人住所地的法律援助机构提出申请。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本条例第十一条所列人员申请法律援助的，应当向审理案件的人民法院所在地的法律援助机构提出申请。被羁押的犯罪嫌疑人的申请由看守所在24小时内转交法律援助机构，申请法律援助所需提交的有关证件、证明材料由看守所通知申请人的法定代理人或者近亲属协助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申请人为无民事行为能力人或者限制民事行为能力人的，由其法定代理人代为提出申请。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无民事行为能力人或者限制民事行为能力人与其法定代理人之间发生诉讼或者因其他利益纠纷需要法律援助的，由与该争议事项无利害关系的其他法定代理人代为提出申请。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公民申请代理、刑事辩护的法律援助应当提交下列证件、证明材料：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(一)身份证或者其他有效的身份证明，代理申请人还应当提交有代理权的证明；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(二)经济困难的证明；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(三)与所申请法律援助事项有关的案件材料。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申请应当采用书面形式，填写申请表；以书面形式提出申请确有困难的，可以口头申请，由法律援助机构工作人员或者代为转交申请的有关机构工作人员作书面记录。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法律援助机构收到法律援助申请后，应当进行审查；认为申请人提交的证件、证明材料不齐全的，可以要求申请人作出必要的补充或者说明，申请人未按要求作出补充或者说明的，视为撤销申请；认为申请人提交的证件、证明材料需要查证的，由法律援助机构向有关机关、单位查证。</w:t>
      </w:r>
    </w:p>
    <w:p>
      <w:pPr>
        <w:pStyle w:val="10"/>
        <w:ind w:firstLine="684" w:firstLineChars="200"/>
        <w:rPr>
          <w:rFonts w:ascii="Times New Roman" w:hAnsi="Times New Roman" w:eastAsia="仿宋_GB2312" w:cs="Times New Roman"/>
          <w:sz w:val="32"/>
          <w:szCs w:val="32"/>
        </w:rPr>
      </w:pPr>
      <w:r>
        <w:rPr>
          <w:rFonts w:ascii="Times New Roman" w:hAnsi="Times New Roman" w:eastAsia="仿宋_GB2312" w:cs="Times New Roman"/>
          <w:spacing w:val="11"/>
          <w:sz w:val="32"/>
          <w:szCs w:val="32"/>
        </w:rPr>
        <w:t>对符合法律援助条件的，法律援助机构应当及时决定提供法律援助；对不符合法律援助条件的，应当书面告知申请人理由</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申请人对法律援助机构作出的不符合法律援助条件的通知有异议的，可以向确定该法律援助机构的司法行政部门提出，司法行政部门应当在收到异议之日起5个工作日内进行审查，经审查认为申请人符合法律援助条件的，应当以书面形式责令法律援助机构及时对该申请人提供法律援助。</w:t>
      </w:r>
    </w:p>
    <w:p>
      <w:pPr>
        <w:pStyle w:val="3"/>
        <w:bidi w:val="0"/>
      </w:pPr>
      <w:r>
        <w:t>第四章　法律援助实施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由人民法院指定辩护的案件，人民法院在开庭10日前将指定辩护通知书和起诉书副本或者判决书副本送交其所在地的法律援助机构；人民法院不在其所在地审判的，可以将指定辩护通知书和起诉书副本或者判决书副本送交审判地的法律援助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法律援助机构可以指派律师事务所安排律师或者安排本机构的工作人员办理法律援助案件；也可以根据其他社会组织的要求，安排其所属人员办理法律援助案件。对人民法院指定辩护的案件，法律援助机构应当在开庭3日前将确定的承办人员名单回复作出指定的人民法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办理法律援助案件的人员，应当遵守职业道德和执业纪律，提供法律援助不得收取任何财物。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办理法律援助案件的人员遇有下列情形之一的，应当向法律援助机构报告，法律援助机构经审查核实的，应当终止该项法律援助：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(一)受援人的经济收入状况发生变化，不再符合法律援助条件的；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(二)案件终止审理或者已被撤销的；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(三)受援人又自行委托律师或者其他代理人的；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(四)受援人要求终止法律援助的。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受指派办理法律援助案件的律师或者接受安排办理法律援助案件的社会组织人员在案件结案时，应当向法律援助机构提交有关的法律文书副本或者复印件以及结案报告等材料。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法律援助机构收到前款规定的结案材料后，应当向受指派办理法律援助案件的律师或者接受安排办理法律援助案件的社会组织人员支付法律援助办案补贴。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法律援助办案补贴的标准由省、自治区、直辖市人民政府司法行政部门会同同级财政部门，根据当地经济发展水平，参考法律援助机构办理各类法律援助案件的平均成本等因素核定，并可以根据需要调整。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法律援助机构对公民申请的法律咨询服务，应当即时办理；复杂疑难的，可以预约择时办理。</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法律援助机构及其工作人员有下列情形之一的，对直接负责的主管人员以及其他直接责任人员依法给予纪律处分：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(一)为不符合法律援助条件的人员提供法律援助，或者拒绝为符合法律援助条件的人员提供法律援助的；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(二)办理法律援助案件收取财物的；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(三)从事有偿法律服务的；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(四)侵占、私分、挪用法律援助经费的。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法律援助案件收取的财物，由司法行政部门责令退还；从事有偿法律服务的违法所得，由司法行政部门予以没收；侵占、私分、挪用法律援助经费的，由司法行政部门责令追回，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w:t>
      </w:r>
      <w:r>
        <w:rPr>
          <w:rFonts w:ascii="Times New Roman" w:hAnsi="Times New Roman" w:eastAsia="仿宋_GB2312" w:cs="Times New Roman"/>
          <w:spacing w:val="11"/>
          <w:sz w:val="32"/>
          <w:szCs w:val="32"/>
        </w:rPr>
        <w:t>律师事务所拒绝法律援助机构的指派，不安排本所律师办理法律援助案件的，由司法行政部门给予警告、责令改正；情节严重的，给予1个月以上3个月以下停业整</w:t>
      </w:r>
      <w:r>
        <w:rPr>
          <w:rFonts w:ascii="Times New Roman" w:hAnsi="Times New Roman" w:eastAsia="仿宋_GB2312" w:cs="Times New Roman"/>
          <w:sz w:val="32"/>
          <w:szCs w:val="32"/>
        </w:rPr>
        <w:t>顿的处罚。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律师有下列情形之一的，由司法行政部门给予警告、责令改正；情节严重的，给予1个月以上3个月以下停止执业的处罚：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(一)无正当理由拒绝接受、擅自终止法律援助案件的；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(二)办理法律援助案件收取财物的。</w:t>
      </w:r>
    </w:p>
    <w:p>
      <w:pPr>
        <w:pStyle w:val="10"/>
        <w:ind w:firstLine="684" w:firstLineChars="200"/>
        <w:rPr>
          <w:rFonts w:ascii="Times New Roman" w:hAnsi="Times New Roman" w:eastAsia="仿宋_GB2312" w:cs="Times New Roman"/>
          <w:sz w:val="32"/>
          <w:szCs w:val="32"/>
        </w:rPr>
      </w:pPr>
      <w:r>
        <w:rPr>
          <w:rFonts w:ascii="Times New Roman" w:hAnsi="Times New Roman" w:eastAsia="仿宋_GB2312" w:cs="Times New Roman"/>
          <w:spacing w:val="11"/>
          <w:sz w:val="32"/>
          <w:szCs w:val="32"/>
        </w:rPr>
        <w:t>有前款第(二)项违法行为的，由司法行政部门责令退还违法所得的财物，可以并处所收财物价值1倍以上3倍以</w:t>
      </w:r>
      <w:r>
        <w:rPr>
          <w:rFonts w:ascii="Times New Roman" w:hAnsi="Times New Roman" w:eastAsia="仿宋_GB2312" w:cs="Times New Roman"/>
          <w:sz w:val="32"/>
          <w:szCs w:val="32"/>
        </w:rPr>
        <w:t>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律师办理法律援助案件违反职业道德和执业纪律的，按照律师法的规定予以处罚。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司法行政部门工作人员在法律援助的监督管理工作中，有滥用职权、玩忽职守行为的，依法给予行政处分；情节严重，构成犯罪的，依法追究刑事责任。</w:t>
      </w:r>
    </w:p>
    <w:p>
      <w:pPr>
        <w:pStyle w:val="3"/>
        <w:bidi w:val="0"/>
      </w:pPr>
      <w:r>
        <w:t>第六章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bookmarkStart w:id="0" w:name="_GoBack"/>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本条例自2003年9月1日起施行。</w:t>
      </w:r>
    </w:p>
    <w:bookmarkEnd w:id="0"/>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3356D16"/>
    <w:rsid w:val="03985ADA"/>
    <w:rsid w:val="058213F7"/>
    <w:rsid w:val="066B1290"/>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AED177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2F83F3C"/>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BD6237D"/>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6710CF"/>
    <w:rsid w:val="789F59B2"/>
    <w:rsid w:val="78ED2B64"/>
    <w:rsid w:val="7A224A32"/>
    <w:rsid w:val="7A4228C8"/>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2019-06-04T03:10:30Z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