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DF" w:rsidRDefault="007F61DF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7F61DF" w:rsidRDefault="00004F43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煤炭送货办法</w:t>
      </w:r>
    </w:p>
    <w:p w:rsidR="007F61DF" w:rsidRDefault="007F61DF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7F61DF" w:rsidRDefault="00004F43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煤炭工业部、铁道部修订　</w:t>
      </w:r>
      <w:r>
        <w:rPr>
          <w:rFonts w:ascii="楷体_GB2312" w:eastAsia="楷体_GB2312" w:hAnsi="楷体_GB2312" w:cs="楷体_GB2312" w:hint="eastAsia"/>
          <w:sz w:val="32"/>
          <w:szCs w:val="32"/>
        </w:rPr>
        <w:t>1965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12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日国务院批转　自</w:t>
      </w:r>
      <w:r>
        <w:rPr>
          <w:rFonts w:ascii="楷体_GB2312" w:eastAsia="楷体_GB2312" w:hAnsi="楷体_GB2312" w:cs="楷体_GB2312" w:hint="eastAsia"/>
          <w:sz w:val="32"/>
          <w:szCs w:val="32"/>
        </w:rPr>
        <w:t>1966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日起施行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7F61DF" w:rsidRDefault="007F61DF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实行煤炭送货办法，是煤炭工业部门和铁路、交通部门贯彻执行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发展经济，保障供给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方针，保证完成国家煤炭分配计划，更好地为用煤单位服务的一项重要措施。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自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1956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年实行送货以来，对于保证用煤单位的需要，节约人力、物力和财力，促进社会主义建设事业的发展，起了积极作用。但是也还存在一些问题，主要是有些单位，全心全意为用煤单位服务的思想不够明确；在处理企业之间的关系上，强调制约，忽视促进，缺乏严格要求自己的精神和实事求是的态度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做好送货工作，在产、运、需三方面，都应当加强为生产、为人民服务的思想，反对单纯营利观点；树立全局观点，反对本位主义；提倡互谅互助、协商办事，反对斤斤计较、互相扯皮。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煤矿和铁路、交通部门的各级领导干部，必须经常深入实际，深入群众，加强督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促检查，主动征求用煤单位意见，及时总结和交流经验，认真改进工作，保证按时、按质、按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量地发运煤炭，力求为用煤单位服务得越来越好。</w:t>
      </w:r>
    </w:p>
    <w:p w:rsidR="007F61DF" w:rsidRPr="00844D9D" w:rsidRDefault="00004F43">
      <w:pPr>
        <w:pStyle w:val="2"/>
        <w:rPr>
          <w:rFonts w:ascii="方正黑体_GBK"/>
          <w:b w:val="0"/>
        </w:rPr>
      </w:pPr>
      <w:r w:rsidRPr="00844D9D">
        <w:rPr>
          <w:rFonts w:ascii="方正黑体_GBK" w:hAnsi="Times New Roman" w:cs="Times New Roman" w:hint="eastAsia"/>
          <w:b w:val="0"/>
        </w:rPr>
        <w:t>按时发运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煤矿和铁路、交通部门，必须加强协作，密切配合，千方百计地采取措施，保证用煤单位按时收到煤炭。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煤矿应当根据订货合同，编制煤炭月度运输计划，并办理托运手续。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铁路部门和煤矿，应当根据煤炭月度运输计划、用煤单位需用煤炭的缓急情况和卸车、储存能力，共同编制旬、日装车方案，做到对大户均衡发运，对小户定旬发运，保证全面地完成计划。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用煤单位遇有特殊情况，提出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推迟或者提前发运煤炭的时候，煤矿和铁路、交通部门，应当共同设法，尽量满足这种要求。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煤矿和铁路、交通部门遇有特殊情况，不能按照计划发运煤炭的时候，必须主动与用煤单位或其上级主管部门研究解决办法，尽量避免给用煤单位造成困难。</w:t>
      </w:r>
    </w:p>
    <w:p w:rsidR="007F61DF" w:rsidRPr="00844D9D" w:rsidRDefault="00004F43">
      <w:pPr>
        <w:pStyle w:val="2"/>
        <w:rPr>
          <w:rFonts w:ascii="方正黑体_GBK"/>
          <w:b w:val="0"/>
        </w:rPr>
      </w:pPr>
      <w:r w:rsidRPr="00844D9D">
        <w:rPr>
          <w:rFonts w:ascii="方正黑体_GBK" w:hAnsi="Times New Roman" w:cs="Times New Roman" w:hint="eastAsia"/>
          <w:b w:val="0"/>
        </w:rPr>
        <w:t>保证质量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煤矿必须认真贯彻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质量第一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的方针，努力提高煤炭的质量，不断降低煤炭中的灰分、全水分、含矸率和块煤限下率，保证按照订货合同中规定的品种、规格、质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量标准发运煤炭。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煤矿发运的煤炭的质量，应当批批合格。但是，灰分和全水分，按批检查的时候，分别允许有百分之零点五和百分之一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绝对值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的波动系数，全月平均都不准有波动系数。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在发煤以前，必须按照国家规定的办法严格进行质量检查，发现不符合第五条规定的，不准装车外运；已经运出的，必须主动赔偿用煤单位的损失。灰分低于规定标准的，征得用煤单位同意后，可以增收价款。全水分、含矸率和块煤限下率低于规定标准的，不增收价款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煤矿应当根据用煤单位的要求，提交煤炭质量化验单。</w:t>
      </w:r>
    </w:p>
    <w:p w:rsidR="007F61DF" w:rsidRPr="00844D9D" w:rsidRDefault="00004F43">
      <w:pPr>
        <w:pStyle w:val="2"/>
        <w:rPr>
          <w:rFonts w:ascii="方正黑体_GBK"/>
          <w:b w:val="0"/>
        </w:rPr>
      </w:pPr>
      <w:r w:rsidRPr="00844D9D">
        <w:rPr>
          <w:rFonts w:ascii="方正黑体_GBK" w:hAnsi="Times New Roman" w:cs="Times New Roman" w:hint="eastAsia"/>
          <w:b w:val="0"/>
        </w:rPr>
        <w:t>保证重量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煤矿和铁路、交通部门，必须切实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负责，积极采取措施，保证发运的煤炭，重量准确，在运输和换装过程中不抛撒丢失。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铁路部门和有专用铁道的企业，对于送到煤矿的车皮，应当保证车体完整，技术状态良好，清扫干净，关牢车门；对于装载出口煤炭需要原车过轨的车皮，还必须保证符合过轨的条件。煤矿发现车皮不符合上述要求的时候，应当通知铁路部门或有专用铁道的企业及时改进，或者在力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所能及的情况下主动帮助处理。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铁路部门应当定期校正车皮的标记自重，保证准确。有轨道衡的煤矿、港口和用煤单位，应当根据铁路部门的要求，尽量帮助校正。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棚车和平车禁止装煤。砂石车一般不准装煤；但是，对于到达煤矿和煤矿所在车站卸空的砂石车，应当加以利用。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装车，应当按照车皮标记载重装足；如果装到车帮高度仍然达不到标记载重，可以超出车帮起脊装载，但是必须确保车辆运行时不溜失煤炭。起脊高度由路矿双方商定。煤炭的价款和运费，都按实际装载量计算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煤矿发运煤炭的重量，应当用轨道衡衡量；没有轨道衡的煤矿，用检尺测量方法计算，但是应当有计划地安装轨道衡。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用轨道衡衡量重量的煤矿，应当每半年请检衡机构检衡一次。没有合格证的轨道衡，不准使用。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用检尺测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量方法计算重量的煤矿，应当每季测定一次煤炭的容积比重。如果用煤单位反映重量不准，煤矿应当及时进行检查，原因在于比重的，必须立即重新测定，并自测定的次日起执行；主管的煤炭工业管理局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公司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认为必要时，应当派人检查处理，或者邀请有关用煤单位协同煤矿测定比重。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用轨道衡衡量重量的，车皮自重以标记自重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为准；装煤重量，除按规定可以少装或多装的以外，应当与标记载重符合，不够的必须添足，超过的必须卸下。装好以后，在煤车的顶面上洒石灰浆作为标记；或者进行平车，以煤车顶面的平整状态作为标记。在货物运单内，煤矿必须填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明煤炭的矿别、品种、级别、并加盖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衡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字章。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用检尺测量方法计算重量的，煤矿必须切实做好量车、划线、平车工作，以煤车顶面的平整状态作为标记。在货物运单内，煤矿必须填明实际装载煤炭的长、宽、高度和煤炭的容积比重、矿别、品种、级别。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第十三条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煤矿装车，必须做到四个一样：黑夜和白天装的一样；坏天气和好天气装的一样；领导不在场和领导在场装的一样；没人检查和有人检查装的一样。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煤矿应当建立严格的检查制度。所有装好的煤车，都必须经检查人员确认重量准确后，才可以办理托运手续。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第十四条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车站对于煤矿装好的煤车，必须逐车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检查。合格的，与煤矿办理交接手续；不合格的，应当提出要求，经煤矿改善后再办交接手续。</w:t>
      </w:r>
    </w:p>
    <w:p w:rsidR="007F61DF" w:rsidRPr="00844D9D" w:rsidRDefault="00004F43">
      <w:pPr>
        <w:pStyle w:val="2"/>
        <w:rPr>
          <w:rFonts w:ascii="方正黑体_GBK"/>
          <w:b w:val="0"/>
        </w:rPr>
      </w:pPr>
      <w:r w:rsidRPr="00844D9D">
        <w:rPr>
          <w:rFonts w:ascii="方正黑体_GBK" w:hAnsi="Times New Roman" w:cs="Times New Roman" w:hint="eastAsia"/>
          <w:b w:val="0"/>
        </w:rPr>
        <w:t>通过验收，促进工作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第十五条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煤车到站后，用煤单位可以采取抽查的办法对煤炭的重量和质量进行验收。通过验收，发现问题，找出原因，分清责任，改进工作。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煤矿和铁路、交通部门，对于用煤单位提出的意见，必须认真对待，严肃处理，吸取教训，采取措施，切实改进。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第十六条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到站的煤车，标记状态发生变化的，车站应当会同用煤单位进行复查。短少的重量，由铁路部门赔偿。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到站的煤车，标记状态没有变化的，用煤单位可以进行抽查。对于货物运单上有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衡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字章的煤车，必须用轨道衡衡量；没有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衡</w:t>
      </w:r>
      <w:r w:rsidRPr="00844D9D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字章的煤车，用量线方法计算，或者用轨道衡衡量，也可以用磅秤检斤。短少的重量，由煤矿补发煤炭，或者退还价款和运费。用轨道衡和量线方法抽查的时候，车站必须派员参加，抽查费由责任单位负担。用磅秤抽查的时候，由用煤单位自行过磅，抽查费自行负担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第十七条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炭的质量，以煤矿的化验和测定结果为准。但是，用煤单位认为必要的时候，可以派员到煤矿进行检查，也可以在到站进行抽查。抽查的时候，灰分按照国家规定的办法，采样、制样、化验；含矸率整车拣选；块煤限下率整车筛选，但是为了避免筛选造成破碎损失，应当尽量协商处理。抽查结果，质量不合格的，煤矿应当负责赔偿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用煤单位为抽查煤炭质量支付的各种费用，除筛选费由责任单位担负以外，其余一律自行负担。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第十八条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煤矿对于水陆联运煤炭的质量和重量，负责到第一个换装港口的车站；对于出口煤炭的质量和重量，负责到国境车站。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 xml:space="preserve">第十九条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煤单位对于品种不符合合同规定的煤炭，应当领取卸车，妥为保管，并及时通知煤矿设法处理。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用煤单位要求煤矿赔偿重量短少和质量不合格的损失，都以实际抽查的部分为限，不得以抽查结果推算全部。</w:t>
      </w:r>
    </w:p>
    <w:p w:rsidR="007F61DF" w:rsidRPr="00844D9D" w:rsidRDefault="00004F43">
      <w:pPr>
        <w:pStyle w:val="2"/>
        <w:rPr>
          <w:rFonts w:ascii="方正黑体_GBK"/>
          <w:b w:val="0"/>
        </w:rPr>
      </w:pPr>
      <w:r w:rsidRPr="00844D9D">
        <w:rPr>
          <w:rFonts w:ascii="方正黑体_GBK" w:hAnsi="Times New Roman" w:cs="Times New Roman" w:hint="eastAsia"/>
          <w:b w:val="0"/>
        </w:rPr>
        <w:t>按期付款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第二十一条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用煤单位必须按期付款。但遇有下列情形之一的时候，可以拒付价款和运费的一部或全部：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一、煤矿托收的款额计算错误的，可以拒付多算的款额；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二、煤矿发煤品种与订货合同规定不符的，可以拒付价款和运费；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三、煤矿发煤的数量超过月度运输计划较多，造成积压的，可以拒付超发部分的价款和运费。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第二十二条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煤炭的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价款和运费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包括煤矿垫付运费的利息和未计入煤价的铁路专用线费、调车费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，按照银行的规定办理结算。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银行应当督促用煤单位按期承付煤矿托收的价款和运费；对于不按照第二十一条规定承付的用煤单位，应当从其存款中扣收。</w:t>
      </w:r>
    </w:p>
    <w:p w:rsidR="007F61DF" w:rsidRPr="00844D9D" w:rsidRDefault="00004F43">
      <w:pPr>
        <w:pStyle w:val="2"/>
        <w:rPr>
          <w:rFonts w:ascii="方正黑体_GBK"/>
          <w:b w:val="0"/>
        </w:rPr>
      </w:pPr>
      <w:r w:rsidRPr="00844D9D">
        <w:rPr>
          <w:rFonts w:ascii="方正黑体_GBK" w:hAnsi="Times New Roman" w:cs="Times New Roman" w:hint="eastAsia"/>
          <w:b w:val="0"/>
        </w:rPr>
        <w:lastRenderedPageBreak/>
        <w:t>其他</w:t>
      </w:r>
    </w:p>
    <w:p w:rsidR="007F61DF" w:rsidRPr="00844D9D" w:rsidRDefault="00004F4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第二十三条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煤矿实行送货，应当经过批准。煤炭工业部所属煤矿，由主管的煤炭工业管理局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公司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商得有关铁路局同意后，报请煤炭工业部和铁道部批准；地方煤矿，由所在省、自治区、直辖市主管厅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局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844D9D">
        <w:rPr>
          <w:rFonts w:ascii="仿宋_GB2312" w:eastAsia="仿宋_GB2312" w:hAnsi="Times New Roman" w:cs="Times New Roman" w:hint="eastAsia"/>
          <w:sz w:val="32"/>
          <w:szCs w:val="32"/>
        </w:rPr>
        <w:t>商得有关铁路局同意后，报请省、自治区、直辖市人民委员会批准。</w:t>
      </w:r>
    </w:p>
    <w:p w:rsidR="007F61DF" w:rsidRDefault="00004F43">
      <w:pPr>
        <w:ind w:firstLineChars="200" w:firstLine="640"/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第二十四条　</w:t>
      </w:r>
      <w:r>
        <w:rPr>
          <w:rFonts w:ascii="Times New Roman" w:eastAsia="仿宋_GB2312" w:hAnsi="Times New Roman" w:cs="Times New Roman"/>
          <w:sz w:val="32"/>
          <w:szCs w:val="32"/>
        </w:rPr>
        <w:t>本办法的实施细则，由煤炭工业部、铁道部、交通部另行制定。</w:t>
      </w:r>
    </w:p>
    <w:sectPr w:rsidR="007F61DF" w:rsidSect="007F61DF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F43" w:rsidRDefault="00004F43" w:rsidP="007F61DF">
      <w:r>
        <w:separator/>
      </w:r>
    </w:p>
  </w:endnote>
  <w:endnote w:type="continuationSeparator" w:id="1">
    <w:p w:rsidR="00004F43" w:rsidRDefault="00004F43" w:rsidP="007F6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1DF" w:rsidRDefault="007F61DF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7F61DF" w:rsidRDefault="007F61DF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004F43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844D9D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F43" w:rsidRDefault="00004F43" w:rsidP="007F61DF">
      <w:r>
        <w:separator/>
      </w:r>
    </w:p>
  </w:footnote>
  <w:footnote w:type="continuationSeparator" w:id="1">
    <w:p w:rsidR="00004F43" w:rsidRDefault="00004F43" w:rsidP="007F61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B32555F"/>
    <w:rsid w:val="00004F43"/>
    <w:rsid w:val="004865C2"/>
    <w:rsid w:val="007F61DF"/>
    <w:rsid w:val="00844D9D"/>
    <w:rsid w:val="00DF3871"/>
    <w:rsid w:val="00ED66B2"/>
    <w:rsid w:val="09812DD6"/>
    <w:rsid w:val="0B32555F"/>
    <w:rsid w:val="27415782"/>
    <w:rsid w:val="2FA139C0"/>
    <w:rsid w:val="51C91E2D"/>
    <w:rsid w:val="711D0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61D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7F61DF"/>
    <w:pPr>
      <w:keepNext/>
      <w:keepLines/>
      <w:spacing w:before="260" w:after="260" w:line="416" w:lineRule="auto"/>
      <w:jc w:val="center"/>
      <w:outlineLvl w:val="1"/>
    </w:pPr>
    <w:rPr>
      <w:rFonts w:asciiTheme="majorHAnsi" w:eastAsia="方正黑体_GBK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7F61DF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7F61D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7F61D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491</Words>
  <Characters>2800</Characters>
  <Application>Microsoft Office Word</Application>
  <DocSecurity>0</DocSecurity>
  <Lines>23</Lines>
  <Paragraphs>6</Paragraphs>
  <ScaleCrop>false</ScaleCrop>
  <Company>Microsoft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</cp:revision>
  <cp:lastPrinted>2019-05-25T01:55:00Z</cp:lastPrinted>
  <dcterms:created xsi:type="dcterms:W3CDTF">2019-05-22T14:23:00Z</dcterms:created>
  <dcterms:modified xsi:type="dcterms:W3CDTF">2019-07-08T03:11:00Z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