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石油地震勘探损害补偿规定</w:t>
      </w:r>
    </w:p>
    <w:p>
      <w:pPr>
        <w:pStyle w:val="3"/>
        <w:ind w:firstLine="640" w:firstLineChars="200"/>
        <w:rPr>
          <w:rFonts w:ascii="Times New Roman" w:hAnsi="Times New Roman" w:eastAsia="楷体_GB2312" w:cs="Times New Roman"/>
          <w:sz w:val="32"/>
          <w:szCs w:val="32"/>
        </w:rPr>
      </w:pPr>
    </w:p>
    <w:p>
      <w:pPr>
        <w:pStyle w:val="3"/>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(1989年9月26日</w:t>
      </w:r>
      <w:bookmarkStart w:id="0" w:name="_GoBack"/>
      <w:bookmarkEnd w:id="0"/>
      <w:r>
        <w:rPr>
          <w:rFonts w:hint="eastAsia" w:ascii="楷体_GB2312" w:hAnsi="楷体_GB2312" w:eastAsia="楷体_GB2312" w:cs="楷体_GB2312"/>
          <w:sz w:val="32"/>
          <w:szCs w:val="32"/>
        </w:rPr>
        <w:t>国务院批准　1989年10月17日中华人民共和国能源部令第1号发布　自发布之日起施行)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为了做好石油地震勘探损害补偿工作，正确处理国家、集体、个人三者利益关系，确保石油勘探工作的顺利进行，制定本规定。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本规定适用于中华人民共和国陆地(包括岛屿、海滩、水深五米的浅海在内)石油地震勘探作业和作业地震波的损害补偿。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石油地震勘探是沿一定测线通过式作业，在测线每个观测点上通过时间不超过四十八小时，在特殊情况下不超过九十六小时的，免于办理临时用地手续。</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石油地震勘探按照实际损害程度由地震作业队给予受损害的个人或者单位一次性补偿，补偿费用应当及时支付。任何单位或者个人不得截留、回扣补偿费用，或者向地震作业队索要补偿费用之外的费用或者实物。</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地震作业队的主管部门，应当在开工前三十日内将本年度的石油地震勘探施工设计和作业计划向作业区所在地的县级人民政府有关主管部门报告，取得支持和帮助。县级人民政府有关主管部门应当在地震作业队作业前将作业区的地面、地下设施、农田作物等有关资料提供给地震作业队主管部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地震作业队的作业，应当按照国家有关规定在城市区、工矿区、居民点、车站、码头、港口、铁路、军用基地、人防工程、大中型桥涵、水利工程、电力设施、输油输气管线、国家测量标志、重点文物、通讯设施、广播设施的安全距离之外放炮。特殊情况下，如需在上述安全距离内放炮作业，地震作业队应当征得有关部门同意，采取安全措施后，方可施工。</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当事人双方对石油地震勘探损害补偿问题发生纠纷时，首先应当协商解决，协商不成的，提请当地县级人民政府及其指定的部门调解处理；对调解处理决定不服的，任何一方可在接到处理决定之日起十五日内向所在地人民法院起诉，但在调解和诉讼期间，应当保证地震作业队正常作业。</w:t>
      </w:r>
    </w:p>
    <w:p>
      <w:pPr>
        <w:pStyle w:val="2"/>
        <w:rPr>
          <w:rFonts w:ascii="方正黑体_GBK"/>
        </w:rPr>
      </w:pPr>
      <w:r>
        <w:rPr>
          <w:rFonts w:hint="eastAsia" w:ascii="方正黑体_GBK" w:hAnsi="Times New Roman" w:cs="Times New Roman"/>
        </w:rPr>
        <w:t>第二章　石油地震勘探作业损害补偿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石油地震勘探作业(以下简称地震作业)车辆沿测线通过农田，对粮食作物和其他经济作物造成损害的，作物受害量以当地县级人民政府统计部门前三年上报国家产量的年平均数、实际损害面积和实际损害程度计算；作物补偿价格按国家规定的价格和当地市场价格的加权平均值计算，其加权平均值参照定购合同等因素，由双方协商确定，作业车辆损害农田面积以实际碾压宽度和长度计算。</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地震作业车辆沿测线通过造成的农田地面设施损害，根据实际损害程度，由双方协商，给予适当补偿。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地震作业对封冻期的青苗损害的补偿标准，按作业车辆实际碾压损害程度确定，一般不超过对该地非封冻期作物损害补偿标准的百分之三十，但个别地方青苗碾压严重的，经当事人双方认定，可酌情提高补偿标准。封冻期的具体期限由当地省级以上人民政府确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地震作业对无封冻期的已耕待种地造成损害的，应按照作业车辆实际碾压面积，参照当地劳务费用和机耕费用的标准补偿复耕费。</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地震作业对牧区人工种植的草场造成损害的，应按照草场实际损害面积和亩产量，及当地省级人民政府规定的牧草收购价格，予以补偿。</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对已承包给个人或集体的天然草场造成损害的，应根据该天然草场的实际产草情况和损害程度，由当事人双方协商补偿办法。补偿费的标准，由当地省级人民政府确定。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地震作业对竹木造成损害的，应对实际损害株数逐株计算，进行补偿。竹木补偿标准由当地省级人民政府确定，被损竹木归原竹木所有者。</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地震作业后的炮眼，应当由地震作业队负责回填。地震作业队不回填的，应按照当地省级人民政府规定的标准，支付炮眼回填劳务费。</w:t>
      </w:r>
    </w:p>
    <w:p>
      <w:pPr>
        <w:pStyle w:val="2"/>
        <w:rPr>
          <w:rFonts w:ascii="方正黑体_GBK"/>
        </w:rPr>
      </w:pPr>
      <w:r>
        <w:rPr>
          <w:rFonts w:hint="eastAsia" w:ascii="方正黑体_GBK" w:hAnsi="Times New Roman" w:cs="Times New Roman"/>
        </w:rPr>
        <w:t>第三章　地震作业地震波造成损害的补偿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地震作业队井中放炮，对其地震作业地震波(以下简称地震波)造成损害的补偿范围规定如下：</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对土坯结构和砖、土坯混合结构的房屋、窑洞、厂房、正常生产的砖窑，炸药量在一至三公斤，地震波损害的补偿范围为距炮点半径四十米以内，炸药量在四至六公斤，地震波损害的补偿范围为距炮点半径五十米以内；炸药量在七至十公斤，地震波损害的补偿范围为距炮点半径七十米以内；炸药量在十一至十五公斤，地震波损害的补偿范围为距炮点半径八十米以内。</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(二)对混凝土结构的厂房建筑、机井、一般桥梁和水闸的地震波损害的补偿范围，比照本条(一)项规定的范围缩小四分之一。</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在地震波损害的补偿范围内的地面设施，根据地震作业放炮后所造成的损害的程度，参考原造价和使用年限计算补偿费用，予以补偿。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对地震波损害补偿范围内的机井的损害补偿，由当事人双方共同核实损害程度，并参照当地县级人民政府有关部门提供的机井档案资料、造价、使用年限，计算补偿费用予以补偿。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在海滩和浅海区进行地震作业，应当采用非炸药震源；在陆地进行地震作业，应当尽量避开鱼塘或养殖场。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必须在鱼塘或养殖场内及其附近地区进行地震作业的，炮眼井底至鱼塘或养殖场水底的深度不得小于五米，炸药量不得大于十公斤。</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因地震作业对鱼类和其它水产类造成损害的，应当根据实际损害情况给予一次性补偿，具体补偿办法由国务院石油工业主管部门和农业主管部门另行规定。</w:t>
      </w:r>
    </w:p>
    <w:p>
      <w:pPr>
        <w:pStyle w:val="2"/>
        <w:rPr>
          <w:rFonts w:ascii="方正黑体_GBK"/>
        </w:rPr>
      </w:pPr>
      <w:r>
        <w:rPr>
          <w:rFonts w:hint="eastAsia" w:ascii="方正黑体_GBK" w:hAnsi="Times New Roman" w:cs="Times New Roman"/>
        </w:rPr>
        <w:t>第四章　不予补偿的范围</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地震作业队在没有种植农作物的荒岭、荒坡、荒地、荒漠，以及封冻期的无种植耕地、草原进行石油勘探地震作业的，不予补偿，但对作业区的耕地应当负责复垦，恢复利用。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地震作业队在国家和集体所有的闲置地，没有承包的沙滩、沙漠、河滩、湖滩、海滩、森林中的空地进行地震作业的，不予补偿。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地震作业队主管部门向地震作业区所在地人民政府提交作业计划后，任何单位和个人故意在作业线上抢种作物、苗木和突击设置地面设施的，其在地震作业后受到损害的，地震作业队不予补偿。</w:t>
      </w:r>
    </w:p>
    <w:p>
      <w:pPr>
        <w:pStyle w:val="2"/>
        <w:rPr>
          <w:rFonts w:ascii="方正黑体_GBK"/>
        </w:rPr>
      </w:pPr>
      <w:r>
        <w:rPr>
          <w:rFonts w:hint="eastAsia" w:ascii="方正黑体_GBK" w:hAnsi="Times New Roman" w:cs="Times New Roman"/>
        </w:rPr>
        <w:t>第五章　罚则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地震作业队违反第六条规定，擅自在安全距离内放炮的，应当根据国家有关法律、法规由有关部门对地震作业队责任人员追究行政责任或民事责任；对情节严重构成犯罪的，依法追究其刑事责任。</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有下列行为之一的单位和个人，视其情节轻重，由当地人民政府有关部门依法给予行政处罚，并责令其赔偿造成的损失；构成犯罪的，由司法部门依法追究刑事责任：</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(一)扣押、损坏、偷盗地震作业队的设备和器材的；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(二)采取挖路、放水、扣车、扣人、围攻及殴打地震作业人员、煽动群众起哄闹事、阻碍地震作业队正常施工作业的；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(三)采用欺骗的方法，利用损害补偿敲诈勒索的。</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违反第四条规定，截留、回扣补偿费用的单位和个人，由监察部门责令其退回被截留、回扣的补偿费用，并可予以行政处罚。</w:t>
      </w:r>
    </w:p>
    <w:p>
      <w:pPr>
        <w:pStyle w:val="2"/>
        <w:rPr>
          <w:rFonts w:ascii="方正黑体_GBK"/>
        </w:rPr>
      </w:pPr>
      <w:r>
        <w:rPr>
          <w:rFonts w:hint="eastAsia" w:ascii="方正黑体_GBK" w:hAnsi="Times New Roman" w:cs="Times New Roman"/>
        </w:rPr>
        <w:t>第六章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其它行业和部门因地震勘探作业所造成的损害，可参照本规定进行补偿。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第二十六条　</w:t>
      </w:r>
      <w:r>
        <w:rPr>
          <w:rFonts w:hint="eastAsia" w:ascii="仿宋_GB2312" w:hAnsi="Times New Roman" w:eastAsia="仿宋_GB2312" w:cs="Times New Roman"/>
          <w:sz w:val="32"/>
          <w:szCs w:val="32"/>
        </w:rPr>
        <w:t>本规定由国务院石油工业主管部门负责解释。</w:t>
      </w:r>
    </w:p>
    <w:p>
      <w:pPr>
        <w:ind w:firstLine="640" w:firstLineChars="200"/>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本规定自发布之日起施行。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altName w:val="Arial Unicode MS"/>
    <w:panose1 w:val="03000509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5372AA3"/>
    <w:rsid w:val="003424F2"/>
    <w:rsid w:val="00932A8D"/>
    <w:rsid w:val="00942D7B"/>
    <w:rsid w:val="009F23F9"/>
    <w:rsid w:val="00B16E39"/>
    <w:rsid w:val="00BB161E"/>
    <w:rsid w:val="01F72B05"/>
    <w:rsid w:val="027E7949"/>
    <w:rsid w:val="043003CD"/>
    <w:rsid w:val="066E5B35"/>
    <w:rsid w:val="07601F0E"/>
    <w:rsid w:val="084F1785"/>
    <w:rsid w:val="0EC60704"/>
    <w:rsid w:val="142E6A3C"/>
    <w:rsid w:val="187A101C"/>
    <w:rsid w:val="1A3B7164"/>
    <w:rsid w:val="23635F45"/>
    <w:rsid w:val="23A107DE"/>
    <w:rsid w:val="23A81A65"/>
    <w:rsid w:val="254477ED"/>
    <w:rsid w:val="273B7B33"/>
    <w:rsid w:val="2B624DE3"/>
    <w:rsid w:val="2EAF039B"/>
    <w:rsid w:val="35231886"/>
    <w:rsid w:val="3B6334BC"/>
    <w:rsid w:val="3C5A3005"/>
    <w:rsid w:val="49D67E55"/>
    <w:rsid w:val="4E614D78"/>
    <w:rsid w:val="4FE1053B"/>
    <w:rsid w:val="55F87311"/>
    <w:rsid w:val="56E63CE7"/>
    <w:rsid w:val="5E137696"/>
    <w:rsid w:val="63BD6B81"/>
    <w:rsid w:val="652C56F8"/>
    <w:rsid w:val="65372AA3"/>
    <w:rsid w:val="68B20C0A"/>
    <w:rsid w:val="71023F57"/>
    <w:rsid w:val="71C55EC5"/>
    <w:rsid w:val="79D1029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HAnsi" w:hAnsiTheme="majorHAnsi" w:cstheme="majorBidi"/>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418</Words>
  <Characters>2389</Characters>
  <Lines>19</Lines>
  <Paragraphs>5</Paragraphs>
  <TotalTime>1</TotalTime>
  <ScaleCrop>false</ScaleCrop>
  <LinksUpToDate>false</LinksUpToDate>
  <CharactersWithSpaces>2802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2019-05-22T14:24:00Z</dcterms:created>
  <dc:creator>Administrator</dc:creator>
  <cp:lastModifiedBy>范杰</cp:lastModifiedBy>
  <cp:lastPrinted>2019-05-25T02:03:00Z</cp:lastPrinted>
  <dcterms:modified xsi:type="dcterms:W3CDTF">2019-08-01T02:03:49Z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